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F4" w:rsidRDefault="00CB12F4" w:rsidP="00D46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2F4" w:rsidRDefault="00CB12F4" w:rsidP="00D46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F4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4D6DE7">
          <w:rPr>
            <w:rStyle w:val="Hyperlink"/>
            <w:rFonts w:ascii="Times New Roman" w:hAnsi="Times New Roman" w:cs="Times New Roman"/>
            <w:sz w:val="24"/>
            <w:szCs w:val="24"/>
          </w:rPr>
          <w:t>https://philpapers.org/rec/KOSFMS?ref=mail</w:t>
        </w:r>
      </w:hyperlink>
      <w:r w:rsidRPr="00CB12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 had the impression of reading something about my EDWs approach! Therefore I read Koslicki’s book (2008). </w:t>
      </w:r>
    </w:p>
    <w:p w:rsidR="00A207ED" w:rsidRPr="00CB12F4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  <w:r w:rsidRPr="00CB12F4">
        <w:rPr>
          <w:rFonts w:ascii="Times New Roman" w:hAnsi="Times New Roman" w:cs="Times New Roman"/>
          <w:sz w:val="24"/>
          <w:szCs w:val="24"/>
        </w:rPr>
        <w:t xml:space="preserve">(2008) </w:t>
      </w:r>
      <w:r w:rsidR="007405AA" w:rsidRPr="00CB12F4">
        <w:rPr>
          <w:rFonts w:ascii="Times New Roman" w:hAnsi="Times New Roman" w:cs="Times New Roman"/>
          <w:sz w:val="24"/>
          <w:szCs w:val="24"/>
        </w:rPr>
        <w:t xml:space="preserve">Katherin </w:t>
      </w:r>
      <w:r w:rsidRPr="00CB12F4">
        <w:rPr>
          <w:rFonts w:ascii="Times New Roman" w:hAnsi="Times New Roman" w:cs="Times New Roman"/>
          <w:sz w:val="24"/>
          <w:szCs w:val="24"/>
        </w:rPr>
        <w:t xml:space="preserve">Koslicki, </w:t>
      </w:r>
      <w:r w:rsidRPr="00CB12F4">
        <w:rPr>
          <w:rFonts w:ascii="Times New Roman" w:hAnsi="Times New Roman" w:cs="Times New Roman"/>
          <w:i/>
          <w:sz w:val="24"/>
          <w:szCs w:val="24"/>
        </w:rPr>
        <w:t>The Structure of Objects</w:t>
      </w:r>
      <w:r w:rsidRPr="00CB12F4">
        <w:rPr>
          <w:rFonts w:ascii="Times New Roman" w:hAnsi="Times New Roman" w:cs="Times New Roman"/>
          <w:sz w:val="24"/>
          <w:szCs w:val="24"/>
        </w:rPr>
        <w:t>, Oxford University Press</w:t>
      </w:r>
    </w:p>
    <w:p w:rsidR="00CB12F4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[There are quite important ideas in this book that are very similar to my ideas published in 2002, 2005 (the article from </w:t>
      </w:r>
      <w:r w:rsidRPr="00D46ECB">
        <w:rPr>
          <w:rFonts w:ascii="Times New Roman" w:hAnsi="Times New Roman" w:cs="Times New Roman"/>
          <w:i/>
          <w:sz w:val="24"/>
          <w:szCs w:val="24"/>
        </w:rPr>
        <w:t>Synthese</w:t>
      </w:r>
      <w:r>
        <w:rPr>
          <w:rFonts w:ascii="Times New Roman" w:hAnsi="Times New Roman" w:cs="Times New Roman"/>
          <w:sz w:val="24"/>
          <w:szCs w:val="24"/>
        </w:rPr>
        <w:t xml:space="preserve"> journal), 2006 and posted on Internet immediately after being published. In the next years after publishing at so famous journal Synthese, I was wondering why so few people quoted my name. Years later, I have understood the reason why… </w:t>
      </w:r>
    </w:p>
    <w:p w:rsidR="00CB12F4" w:rsidRPr="00D46ECB" w:rsidRDefault="004B48D0" w:rsidP="00CB12F4">
      <w:pPr>
        <w:framePr w:hSpace="180" w:wrap="around" w:hAnchor="margin" w:xAlign="center" w:y="-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(2018) Gabriel Vacariu: </w:t>
      </w:r>
      <w:r w:rsidR="00C71012">
        <w:rPr>
          <w:rFonts w:ascii="Times New Roman" w:hAnsi="Times New Roman" w:cs="Times New Roman"/>
          <w:b/>
          <w:sz w:val="28"/>
          <w:szCs w:val="28"/>
        </w:rPr>
        <w:t>Very similar ideas between</w:t>
      </w:r>
      <w:r w:rsidR="00CB12F4" w:rsidRPr="00D46ECB">
        <w:rPr>
          <w:rFonts w:ascii="Times New Roman" w:hAnsi="Times New Roman" w:cs="Times New Roman"/>
          <w:b/>
          <w:sz w:val="28"/>
          <w:szCs w:val="28"/>
        </w:rPr>
        <w:t xml:space="preserve"> Katherin Koslicki</w:t>
      </w:r>
      <w:r w:rsidR="00C71012">
        <w:rPr>
          <w:rFonts w:ascii="Times New Roman" w:hAnsi="Times New Roman" w:cs="Times New Roman"/>
          <w:b/>
          <w:sz w:val="28"/>
          <w:szCs w:val="28"/>
        </w:rPr>
        <w:t>’s ideas</w:t>
      </w:r>
      <w:bookmarkStart w:id="0" w:name="_GoBack"/>
      <w:bookmarkEnd w:id="0"/>
      <w:r w:rsidR="00CB12F4" w:rsidRPr="00D4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012">
        <w:rPr>
          <w:rFonts w:ascii="Times New Roman" w:hAnsi="Times New Roman" w:cs="Times New Roman"/>
          <w:b/>
          <w:sz w:val="28"/>
          <w:szCs w:val="28"/>
        </w:rPr>
        <w:t>(</w:t>
      </w:r>
      <w:r w:rsidR="00C71012" w:rsidRPr="00D46ECB">
        <w:rPr>
          <w:rFonts w:ascii="Times New Roman" w:hAnsi="Times New Roman" w:cs="Times New Roman"/>
          <w:b/>
          <w:sz w:val="28"/>
          <w:szCs w:val="28"/>
        </w:rPr>
        <w:t>2008)</w:t>
      </w:r>
      <w:r w:rsidR="00C71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2F4" w:rsidRPr="00D46ECB">
        <w:rPr>
          <w:rFonts w:ascii="Times New Roman" w:hAnsi="Times New Roman" w:cs="Times New Roman"/>
          <w:b/>
          <w:i/>
          <w:sz w:val="28"/>
          <w:szCs w:val="28"/>
        </w:rPr>
        <w:t>The Structure of Objects</w:t>
      </w:r>
      <w:r w:rsidR="00CB12F4" w:rsidRPr="00D46ECB">
        <w:rPr>
          <w:rFonts w:ascii="Times New Roman" w:hAnsi="Times New Roman" w:cs="Times New Roman"/>
          <w:b/>
          <w:sz w:val="28"/>
          <w:szCs w:val="28"/>
        </w:rPr>
        <w:t>, Oxford University Press</w:t>
      </w:r>
      <w:r w:rsidR="00C71012">
        <w:rPr>
          <w:rFonts w:ascii="Times New Roman" w:hAnsi="Times New Roman" w:cs="Times New Roman"/>
          <w:b/>
          <w:sz w:val="28"/>
          <w:szCs w:val="28"/>
        </w:rPr>
        <w:t>) and my ideas (2002-2005-2006)</w:t>
      </w:r>
    </w:p>
    <w:p w:rsidR="00CB12F4" w:rsidRDefault="00CB12F4" w:rsidP="00CB12F4">
      <w:pPr>
        <w:framePr w:hSpace="180" w:wrap="around" w:hAnchor="margin" w:xAlign="center" w:y="-25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read this paragraph about her book: </w:t>
      </w:r>
    </w:p>
    <w:p w:rsidR="00CB12F4" w:rsidRDefault="00CB12F4" w:rsidP="00CB12F4">
      <w:pPr>
        <w:framePr w:hSpace="180" w:wrap="around" w:hAnchor="margin" w:xAlign="center" w:y="-25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12F4" w:rsidRDefault="00CB12F4" w:rsidP="00CB12F4">
      <w:pPr>
        <w:framePr w:hSpace="180" w:wrap="around" w:hAnchor="margin" w:xAlign="center" w:y="-252"/>
        <w:spacing w:after="0" w:line="240" w:lineRule="auto"/>
        <w:contextualSpacing/>
        <w:rPr>
          <w:rFonts w:ascii="Arial" w:eastAsia="Times New Roman" w:hAnsi="Arial" w:cs="Arial"/>
          <w:color w:val="333333"/>
          <w:sz w:val="16"/>
          <w:szCs w:val="16"/>
          <w:lang w:eastAsia="en-GB"/>
        </w:rPr>
      </w:pP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In Form, Matter, Substance, Kathrin Koslicki develops a contemporary defence of the Aristotelian doctrine of hylomorphism.   According to this approach, objects are</w:t>
      </w: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 </w:t>
      </w: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compounds of matter (hule) and form (morphe or eidos) and a living organism is not exhausted by the body, cells, organs, tissue, and the like that compose it. Koslicki</w:t>
      </w: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 </w:t>
      </w: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argues that a hylomorphic analysis of concrete particular objects is well equipped to compete with alternative approaches when measured against a wide range of </w:t>
      </w:r>
    </w:p>
    <w:p w:rsidR="00CB12F4" w:rsidRDefault="00CB12F4" w:rsidP="00CB12F4">
      <w:pPr>
        <w:framePr w:hSpace="180" w:wrap="around" w:hAnchor="margin" w:xAlign="center" w:y="-252"/>
        <w:spacing w:after="0" w:line="240" w:lineRule="auto"/>
        <w:contextualSpacing/>
        <w:rPr>
          <w:rFonts w:ascii="Arial" w:eastAsia="Times New Roman" w:hAnsi="Arial" w:cs="Arial"/>
          <w:color w:val="333333"/>
          <w:sz w:val="16"/>
          <w:szCs w:val="16"/>
          <w:lang w:eastAsia="en-GB"/>
        </w:rPr>
      </w:pP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criteria of success. However, a plausible application of the doctrine of hylomorphism to the special case of concrete particular objects hinges on how hylomorphists conceive of the matter composing a concrete particular object, its form, and the hylomorphic relations which hold between a matter-form compound, its matter and its form. Koslicki offers detailed answers to the questions surrounding this approach to the metaphysics of concrete particular objects. As a result, matter-form compounds</w:t>
      </w: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 </w:t>
      </w: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emerge as occupying the privileged ontological status traditionally associated with substances, despite their metaphysical complexity, due to their high degree of unit</w:t>
      </w: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y. </w:t>
      </w:r>
    </w:p>
    <w:p w:rsidR="00CB12F4" w:rsidRDefault="00CB12F4" w:rsidP="00CB1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en-GB"/>
        </w:rPr>
        <w:t xml:space="preserve"> </w:t>
      </w:r>
      <w:r w:rsidRPr="001C22CB">
        <w:rPr>
          <w:rFonts w:ascii="Arial" w:eastAsia="Times New Roman" w:hAnsi="Arial" w:cs="Arial"/>
          <w:color w:val="333333"/>
          <w:sz w:val="16"/>
          <w:szCs w:val="16"/>
          <w:lang w:eastAsia="en-GB"/>
        </w:rPr>
        <w:t>emerge as occupying the privileged ontological status traditionally associated with substances, despite their metaphysical complexity, due to their high degree of unit</w:t>
      </w:r>
      <w:r w:rsidRPr="001C22C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y.</w:t>
      </w:r>
    </w:p>
    <w:p w:rsidR="00D46ECB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following paragraphs, I introduce some paragraphs with ideas that are quite similar to my ideas…]</w:t>
      </w:r>
    </w:p>
    <w:p w:rsidR="00D46ECB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CB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Chap. VII, ‘Objects as Structured Wholes’, section 2.3 ‘An Ontology of Kinds’</w:t>
      </w:r>
    </w:p>
    <w:p w:rsidR="00D46ECB" w:rsidRDefault="00D46ECB" w:rsidP="00D4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[the ideas of kinds are very similar to my EDWs.</w:t>
      </w:r>
      <w:r w:rsidR="00437E45">
        <w:rPr>
          <w:rFonts w:ascii="Times New Roman" w:hAnsi="Times New Roman" w:cs="Times New Roman"/>
          <w:sz w:val="24"/>
          <w:szCs w:val="24"/>
        </w:rPr>
        <w:t xml:space="preserve"> And later…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This middle ground, I propose, can be derived from a commitment to an ontology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kinds</w:t>
      </w:r>
      <w:r>
        <w:rPr>
          <w:rFonts w:ascii="AGaramond-Regular" w:hAnsi="AGaramond-Regular" w:cs="AGaramond-Regular"/>
          <w:sz w:val="21"/>
          <w:szCs w:val="21"/>
        </w:rPr>
        <w:t>, which will be justified in more detail in the next chapter. According to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this conception, a plurality of objects composes a whole of a particular kind, when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objects (material components) in question satisfy the selection requirements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set by the formal components associated with wholes of that particular kind, e.g.,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requirements concerning, for example, the variety, configuration and sometimes</w:t>
      </w:r>
    </w:p>
    <w:p w:rsidR="00D46ECB" w:rsidRDefault="00D46ECB" w:rsidP="00D46ECB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even the number of parts out of which wholes of that particular kind may be composed. (p. 170) 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Content or matter, as we argued at the end of Chapter V, is best viewed as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consisting of a domain of objects that are themselves already structured: this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conception breaks down only when applied to a ‘‘first’’ level of composition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(if there is such a thing), made up of entities that are not further composed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anything; however, since these ground-level entities are presumably not also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mereologically complex, a theory which concerns the relation between wholes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and their parts does not apply to them and is hence not violated by their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non-dichotomous nature.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Structure or form has been tied to an ontology of kinds: each kind of object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is taken to have associated with it a set of selection requirements which act as a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lastRenderedPageBreak/>
        <w:t>recipe of sorts in specifying the range and configuration of material components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eligible to compose a whole of that particular kind. We have, however, up to this point left open the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ontological category </w:t>
      </w:r>
      <w:r>
        <w:rPr>
          <w:rFonts w:ascii="AGaramond-Regular" w:hAnsi="AGaramond-Regular" w:cs="AGaramond-Regular"/>
          <w:sz w:val="21"/>
          <w:szCs w:val="21"/>
        </w:rPr>
        <w:t>to which the formal components of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objects are to be assigned, i.e., whether these entities belong to the category</w:t>
      </w:r>
    </w:p>
    <w:p w:rsidR="00D46ECB" w:rsidRDefault="00D46ECB" w:rsidP="00D46EC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objects, to that of properties and relations, or to some other category still.</w:t>
      </w:r>
    </w:p>
    <w:p w:rsidR="00D46ECB" w:rsidRDefault="00D46ECB" w:rsidP="00D46ECB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These issues will be investigated further and in more detail in Chapter IX. (p. 175)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Standard mereology itself, however, cannot be thought of as providing such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independent evidence for the existence of mereologically complex objects which,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like sets, are free from the sorts of constraints that could be reasonably attributed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to the presence of formal components within these objects: for mereological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sums, according to the standard conception, need not satisfy any of the selection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requirements concerning the variety, number or configuration of their parts;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rather, their composition, as we pointed out earlier, is completely unconstrained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and happens whenever there is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any </w:t>
      </w:r>
      <w:r>
        <w:rPr>
          <w:rFonts w:ascii="AGaramond-Regular" w:hAnsi="AGaramond-Regular" w:cs="AGaramond-Regular"/>
          <w:sz w:val="21"/>
          <w:szCs w:val="21"/>
        </w:rPr>
        <w:t>plurality of objects, regardless of what</w:t>
      </w:r>
    </w:p>
    <w:p w:rsidR="00D46ECB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characteristics these objects bear and how these objects are related to one another. (p. 175)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As a consequence of the assumptions already endorsed up to this point,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it now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follows </w:t>
      </w:r>
      <w:r>
        <w:rPr>
          <w:rFonts w:ascii="AGaramond-Regular" w:hAnsi="AGaramond-Regular" w:cs="AGaramond-Regular"/>
          <w:sz w:val="21"/>
          <w:szCs w:val="21"/>
        </w:rPr>
        <w:t>that the world does not contain numerically distinct, spatiotemporally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coincident wholes which share exactly the same parts: for NAT, in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conjunction with the assumption that objects of distinct kinds have distinct formal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components, yields the result that there could not be two or more numerically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distinct, spatio-temporally coincident objects which belong to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distinct kinds </w:t>
      </w:r>
      <w:r>
        <w:rPr>
          <w:rFonts w:ascii="AGaramond-Regular" w:hAnsi="AGaramond-Regular" w:cs="AGaramond-Regular"/>
          <w:sz w:val="21"/>
          <w:szCs w:val="21"/>
        </w:rPr>
        <w:t>and</w:t>
      </w:r>
    </w:p>
    <w:p w:rsidR="001A7228" w:rsidRDefault="001A7228" w:rsidP="001A7228">
      <w:pPr>
        <w:jc w:val="both"/>
        <w:rPr>
          <w:rFonts w:ascii="AGaramondExp-Regular" w:eastAsia="AGaramondExp-Regular" w:hAnsi="AGaramond-Regular" w:cs="AGaramondExp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which share all of their parts: rather, it is predicted that such objects will always differ with respect to some of their proper parts, viz., their formal components.</w:t>
      </w:r>
      <w:r>
        <w:rPr>
          <w:rFonts w:ascii="AGaramondExp-Regular" w:eastAsia="AGaramondExp-Regular" w:hAnsi="AGaramond-Regular" w:cs="AGaramondExp-Regular"/>
          <w:sz w:val="21"/>
          <w:szCs w:val="21"/>
        </w:rPr>
        <w:t>23 (pp. 182-3)</w:t>
      </w:r>
    </w:p>
    <w:p w:rsidR="001A7228" w:rsidRDefault="001A7228" w:rsidP="001A7228">
      <w:pPr>
        <w:jc w:val="both"/>
        <w:rPr>
          <w:rFonts w:ascii="AGaramondExp-Regular" w:eastAsia="AGaramondExp-Regular" w:hAnsi="AGaramond-Regular" w:cs="AGaramondExp-Regular"/>
          <w:sz w:val="21"/>
          <w:szCs w:val="21"/>
        </w:rPr>
      </w:pP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If tables are hybrid objects, consisting of formal and material components,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then so are molecules, since the same considerations apply in both cases. For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relation between a molecule and the particles which constitute it is exactly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same as that which holds between a table’s material components and the table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itself: the molecule and the particles that constitute it occupy the same region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space-time, but they do not share all of their properties (e.g., the particles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might exist before or after the molecule exists; they need not constitute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molecule in question; etc.); moreover, it is integral to the existence and identity</w:t>
      </w:r>
    </w:p>
    <w:p w:rsidR="001A7228" w:rsidRDefault="001A7228" w:rsidP="001A7228">
      <w:pPr>
        <w:jc w:val="both"/>
        <w:rPr>
          <w:rFonts w:ascii="AGaramond-Regular" w:eastAsia="AGaramond-Italic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the molecule that the particles which constitute it are of a particular variety </w:t>
      </w:r>
      <w:r>
        <w:rPr>
          <w:rFonts w:ascii="AGaramond-Regular" w:eastAsia="AGaramond-Italic" w:hAnsi="AGaramond-Regular" w:cs="AGaramond-Regular"/>
          <w:sz w:val="21"/>
          <w:szCs w:val="21"/>
        </w:rPr>
        <w:t>and exhibit a particular configuration associated with objects of this particular kind. (pp. 186-7)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As long as we confine ourselves to the case of mereologically complex objects,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however, the considerations which motivated us to adopt NAT are general: they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apply to such microscopic objects as molecules just as much as they apply to such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macroscopic objects as tables. (187) 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b/>
          <w:bCs/>
          <w:sz w:val="23"/>
          <w:szCs w:val="23"/>
        </w:rPr>
      </w:pPr>
      <w:r>
        <w:rPr>
          <w:rFonts w:ascii="AGaramond-Semibold" w:hAnsi="AGaramond-Semibold" w:cs="AGaramond-Semibold"/>
          <w:b/>
          <w:bCs/>
          <w:sz w:val="23"/>
          <w:szCs w:val="23"/>
        </w:rPr>
        <w:t>§VII.2.11 Composition as Non-Identity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In the previous sections, we have already aligned ourselves explicitly with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Platonic and Aristotelian models of parthood and composition with respect to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feature (iii), the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 xml:space="preserve">restricted </w:t>
      </w:r>
      <w:r>
        <w:rPr>
          <w:rFonts w:ascii="AGaramond-Regular" w:hAnsi="AGaramond-Regular" w:cs="AGaramond-Regular"/>
          <w:sz w:val="21"/>
          <w:szCs w:val="21"/>
        </w:rPr>
        <w:t>notion of composition, as well as feature (iv),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 xml:space="preserve">dichotomous </w:t>
      </w:r>
      <w:r>
        <w:rPr>
          <w:rFonts w:ascii="AGaramond-Regular" w:hAnsi="AGaramond-Regular" w:cs="AGaramond-Regular"/>
          <w:sz w:val="21"/>
          <w:szCs w:val="21"/>
        </w:rPr>
        <w:t xml:space="preserve">conception of wholes as composed of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 xml:space="preserve">structure </w:t>
      </w:r>
      <w:r>
        <w:rPr>
          <w:rFonts w:ascii="AGaramond-Regular" w:hAnsi="AGaramond-Regular" w:cs="AGaramond-Regular"/>
          <w:sz w:val="21"/>
          <w:szCs w:val="21"/>
        </w:rPr>
        <w:t xml:space="preserve">or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>form</w:t>
      </w:r>
      <w:r>
        <w:rPr>
          <w:rFonts w:ascii="AGaramond-Regular" w:hAnsi="AGaramond-Regular" w:cs="AGaramond-Regular"/>
          <w:sz w:val="21"/>
          <w:szCs w:val="21"/>
        </w:rPr>
        <w:t>, on the one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hand, and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 xml:space="preserve">content </w:t>
      </w:r>
      <w:r>
        <w:rPr>
          <w:rFonts w:ascii="AGaramond-Regular" w:hAnsi="AGaramond-Regular" w:cs="AGaramond-Regular"/>
          <w:sz w:val="21"/>
          <w:szCs w:val="21"/>
        </w:rPr>
        <w:t xml:space="preserve">or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>matter</w:t>
      </w:r>
      <w:r>
        <w:rPr>
          <w:rFonts w:ascii="AGaramond-Regular" w:hAnsi="AGaramond-Regular" w:cs="AGaramond-Regular"/>
          <w:sz w:val="21"/>
          <w:szCs w:val="21"/>
        </w:rPr>
        <w:t>, on the other. Next, we similarly follow these ancient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mereologies with respect to feature (ii), the </w:t>
      </w:r>
      <w:r>
        <w:rPr>
          <w:rFonts w:ascii="AGaramond-Italic" w:eastAsia="AGaramond-Italic" w:hAnsi="AGaramond-Semibold" w:cs="AGaramond-Italic"/>
          <w:i/>
          <w:iCs/>
          <w:sz w:val="21"/>
          <w:szCs w:val="21"/>
        </w:rPr>
        <w:t xml:space="preserve">ontologically committing </w:t>
      </w:r>
      <w:r>
        <w:rPr>
          <w:rFonts w:ascii="AGaramond-Regular" w:hAnsi="AGaramond-Regular" w:cs="AGaramond-Regular"/>
          <w:sz w:val="21"/>
          <w:szCs w:val="21"/>
        </w:rPr>
        <w:t>conception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wholes. (192)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lastRenderedPageBreak/>
        <w:t>Finally, I want to comment on feature (i) of the Platonic and Aristotelian model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parthood and composition, viz., the genuinely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unified </w:t>
      </w:r>
      <w:r>
        <w:rPr>
          <w:rFonts w:ascii="AGaramond-Regular" w:hAnsi="AGaramond-Regular" w:cs="AGaramond-Regular"/>
          <w:sz w:val="21"/>
          <w:szCs w:val="21"/>
        </w:rPr>
        <w:t>nature of wholes. (192)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Depending on the ontological category to which an object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belongs, the principles of unity at work in holding the parts of these objects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together correspondingly differ widely: for example, the principle of unity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holding together the parts of a heap may be anything that enforces physical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contact, i.e., the sharing of boundaries, among its parts (e.g., a band holding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together some wooden sticks); the parts of a universal (e.g., animal or living</w:t>
      </w:r>
    </w:p>
    <w:p w:rsidR="00867D82" w:rsidRDefault="00867D82" w:rsidP="00867D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thing) are held together by the qualitative similarity under which these objects</w:t>
      </w:r>
    </w:p>
    <w:p w:rsidR="001A7228" w:rsidRDefault="00867D82" w:rsidP="00867D82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may be grouped; (193)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appropriately directed to some discipline outside of philosophy,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such as cosmology.</w:t>
      </w:r>
      <w:r>
        <w:rPr>
          <w:rFonts w:ascii="AGaramondExp-Regular" w:eastAsia="AGaramondExp-Regular" w:hAnsi="AGaramond-Regular" w:cs="AGaramondExp-Regular"/>
          <w:sz w:val="21"/>
          <w:szCs w:val="21"/>
        </w:rPr>
        <w:t>3</w:t>
      </w:r>
      <w:r>
        <w:rPr>
          <w:rFonts w:ascii="MS Gothic" w:eastAsia="MS Gothic" w:hAnsi="MS Gothic" w:cs="MS Gothic" w:hint="eastAsia"/>
          <w:sz w:val="21"/>
          <w:szCs w:val="21"/>
        </w:rPr>
        <w:t>⁹</w:t>
      </w:r>
      <w:r>
        <w:rPr>
          <w:rFonts w:ascii="AGaramondExp-Regular" w:eastAsia="AGaramondExp-Regular" w:hAnsi="AGaramond-Regular" w:cs="AGaramondExp-Regular"/>
          <w:sz w:val="21"/>
          <w:szCs w:val="21"/>
        </w:rPr>
        <w:t xml:space="preserve"> </w:t>
      </w:r>
      <w:r>
        <w:rPr>
          <w:rFonts w:ascii="AGaramond-Regular" w:hAnsi="AGaramond-Regular" w:cs="AGaramond-Regular"/>
          <w:sz w:val="21"/>
          <w:szCs w:val="21"/>
        </w:rPr>
        <w:t>Assuming, on the other hand, that, for whatever reason,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there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are </w:t>
      </w:r>
      <w:r>
        <w:rPr>
          <w:rFonts w:ascii="AGaramond-Regular" w:hAnsi="AGaramond-Regular" w:cs="AGaramond-Regular"/>
          <w:sz w:val="21"/>
          <w:szCs w:val="21"/>
        </w:rPr>
        <w:t>objects of the particular kind in question, then it should come as no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surprise that one of them has come into existence, when a particular plurality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objects satisfies the requirements for how to ‘‘build’’ an object of this kind.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To illustrate, specimens of the kind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H</w:t>
      </w:r>
      <w:r>
        <w:rPr>
          <w:rFonts w:ascii="AGaramond-Italic" w:eastAsia="AGaramond-Italic" w:hAnsi="AGaramond-Regular" w:cs="AGaramond-Italic"/>
          <w:i/>
          <w:iCs/>
          <w:sz w:val="15"/>
          <w:szCs w:val="15"/>
        </w:rPr>
        <w:t>2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O molecule </w:t>
      </w:r>
      <w:r>
        <w:rPr>
          <w:rFonts w:ascii="AGaramond-Regular" w:hAnsi="AGaramond-Regular" w:cs="AGaramond-Regular"/>
          <w:sz w:val="21"/>
          <w:szCs w:val="21"/>
        </w:rPr>
        <w:t>come into existence when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two hydrogen atoms and one oxygen atom enter into a particular configuration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chemical bonding: objects of this kind are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unified </w:t>
      </w:r>
      <w:r>
        <w:rPr>
          <w:rFonts w:ascii="AGaramond-Regular" w:hAnsi="AGaramond-Regular" w:cs="AGaramond-Regular"/>
          <w:sz w:val="21"/>
          <w:szCs w:val="21"/>
        </w:rPr>
        <w:t>in the sense that they are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one </w:t>
      </w:r>
      <w:r>
        <w:rPr>
          <w:rFonts w:ascii="AGaramond-Regular" w:hAnsi="AGaramond-Regular" w:cs="AGaramond-Regular"/>
          <w:sz w:val="21"/>
          <w:szCs w:val="21"/>
        </w:rPr>
        <w:t xml:space="preserve">specimen of the kind in question, i.e.,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one </w:t>
      </w:r>
      <w:r>
        <w:rPr>
          <w:rFonts w:ascii="AGaramond-Regular" w:hAnsi="AGaramond-Regular" w:cs="AGaramond-Regular"/>
          <w:sz w:val="21"/>
          <w:szCs w:val="21"/>
        </w:rPr>
        <w:t>relative to the measure ‘‘H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molecule’’; their material components hang together to the degree that hydrogen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and oxygen atoms, which enter into the relation of chemical bonding, can be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expected to do so. That an object which counts as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one </w:t>
      </w:r>
      <w:r>
        <w:rPr>
          <w:rFonts w:ascii="AGaramond-Regular" w:hAnsi="AGaramond-Regular" w:cs="AGaramond-Regular"/>
          <w:sz w:val="21"/>
          <w:szCs w:val="21"/>
        </w:rPr>
        <w:t xml:space="preserve">or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unified </w:t>
      </w:r>
      <w:r>
        <w:rPr>
          <w:rFonts w:ascii="AGaramond-Regular" w:hAnsi="AGaramond-Regular" w:cs="AGaramond-Regular"/>
          <w:sz w:val="21"/>
          <w:szCs w:val="21"/>
        </w:rPr>
        <w:t>relative to the measure ‘‘H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 molecule’’ has parts at all, poses no threat to its status as a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particular specimen of the kind in question: rather, given what we know about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chemical composition of 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 molecules, nothing could be one specimen of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this kind or unified relative to this particular measure without having as parts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at least two hydrogen atoms and one oxygen atom. Given that this is just what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it means to be an 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 molecule, there is nothing further that the mereologist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proper or the ontologist at large can add to what the scientist has already told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us about the chemical composition of objects of this kind. The mereologist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can</w:t>
      </w:r>
      <w:r>
        <w:rPr>
          <w:rFonts w:ascii="AGaramond-Regular" w:hAnsi="AGaramond-Regular" w:cs="AGaramond-Regular"/>
          <w:sz w:val="21"/>
          <w:szCs w:val="21"/>
        </w:rPr>
        <w:t>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however, be held responsible for the task of devising a theory of parthood and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composition which is responsive to the fact that there can be no 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 molecule,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unless a particular plurality of objects satisfies the formal requirements as to</w:t>
      </w:r>
    </w:p>
    <w:p w:rsidR="001A7228" w:rsidRDefault="001A7228" w:rsidP="001A7228">
      <w:pPr>
        <w:jc w:val="both"/>
        <w:rPr>
          <w:rFonts w:ascii="MS Gothic" w:eastAsia="MS Gothic" w:hAnsi="MS Gothic" w:cs="MS Gothic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number, variety and configuration associated with this kind of whole.</w:t>
      </w:r>
      <w:r>
        <w:rPr>
          <w:rFonts w:ascii="AGaramondExp-Regular" w:eastAsia="AGaramondExp-Regular" w:hAnsi="AGaramond-Regular" w:cs="AGaramondExp-Regular" w:hint="eastAsia"/>
          <w:sz w:val="21"/>
          <w:szCs w:val="21"/>
        </w:rPr>
        <w:t>⁴</w:t>
      </w:r>
      <w:r>
        <w:rPr>
          <w:rFonts w:ascii="MS Gothic" w:eastAsia="MS Gothic" w:hAnsi="MS Gothic" w:cs="MS Gothic" w:hint="eastAsia"/>
          <w:sz w:val="21"/>
          <w:szCs w:val="21"/>
        </w:rPr>
        <w:t>⁰ (197-8)</w:t>
      </w:r>
    </w:p>
    <w:p w:rsidR="001A7228" w:rsidRDefault="001A7228" w:rsidP="001A7228">
      <w:pPr>
        <w:jc w:val="both"/>
        <w:rPr>
          <w:rFonts w:ascii="MS Gothic" w:eastAsia="MS Gothic" w:hAnsi="MS Gothic" w:cs="MS Gothic"/>
          <w:sz w:val="21"/>
          <w:szCs w:val="21"/>
        </w:rPr>
      </w:pPr>
    </w:p>
    <w:p w:rsidR="001A7228" w:rsidRPr="00376B9E" w:rsidRDefault="001A7228" w:rsidP="001A7228">
      <w:pPr>
        <w:jc w:val="both"/>
        <w:rPr>
          <w:rFonts w:ascii="AGaramond-Regular" w:hAnsi="AGaramond-Regular" w:cs="AGaramond-Regular"/>
          <w:sz w:val="24"/>
          <w:szCs w:val="24"/>
        </w:rPr>
      </w:pPr>
      <w:r w:rsidRPr="00376B9E">
        <w:rPr>
          <w:rFonts w:ascii="MS Gothic" w:eastAsia="MS Gothic" w:hAnsi="MS Gothic" w:cs="MS Gothic"/>
          <w:sz w:val="24"/>
          <w:szCs w:val="24"/>
        </w:rPr>
        <w:t xml:space="preserve">Chap. VII </w:t>
      </w:r>
      <w:r w:rsidRPr="00376B9E">
        <w:rPr>
          <w:rFonts w:ascii="AGaramond-Regular" w:hAnsi="AGaramond-Regular" w:cs="AGaramond-Regular"/>
          <w:sz w:val="24"/>
          <w:szCs w:val="24"/>
        </w:rPr>
        <w:t>In Defense of Kinds [</w:t>
      </w:r>
      <w:r w:rsidR="00376B9E">
        <w:rPr>
          <w:rFonts w:ascii="AGaramond-Regular" w:hAnsi="AGaramond-Regular" w:cs="AGaramond-Regular"/>
          <w:sz w:val="24"/>
          <w:szCs w:val="24"/>
        </w:rPr>
        <w:t>‘</w:t>
      </w:r>
      <w:r w:rsidRPr="00376B9E">
        <w:rPr>
          <w:rFonts w:ascii="AGaramond-Regular" w:hAnsi="AGaramond-Regular" w:cs="AGaramond-Regular"/>
          <w:sz w:val="24"/>
          <w:szCs w:val="24"/>
        </w:rPr>
        <w:t>kinds</w:t>
      </w:r>
      <w:r w:rsidR="00376B9E">
        <w:rPr>
          <w:rFonts w:ascii="AGaramond-Regular" w:hAnsi="AGaramond-Regular" w:cs="AGaramond-Regular"/>
          <w:sz w:val="24"/>
          <w:szCs w:val="24"/>
        </w:rPr>
        <w:t>’</w:t>
      </w:r>
      <w:r w:rsidRPr="00376B9E">
        <w:rPr>
          <w:rFonts w:ascii="AGaramond-Regular" w:hAnsi="AGaramond-Regular" w:cs="AGaramond-Regular"/>
          <w:sz w:val="24"/>
          <w:szCs w:val="24"/>
        </w:rPr>
        <w:t xml:space="preserve"> are very similar to my EDWs]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An important piece of the theory of parthood and composition, which was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presented in outline in the preceding chapter, is the restricted composition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principle (RCP), which carried with it an as of yet unjustified commitment to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an ontology of kinds: a plurality of objects was said to compose a whole of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 particular kind, when the objects (material components) in question satisfy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selection requirements set by the formal components associated with wholes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that particular kind, i.e., requirements concerning, among other things,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variety, configuration and sometimes the number of parts out of which wholes</w:t>
      </w:r>
    </w:p>
    <w:p w:rsidR="005667F7" w:rsidRDefault="001A7228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that particular kind may be composed. </w:t>
      </w:r>
      <w:r w:rsidR="005667F7">
        <w:rPr>
          <w:rFonts w:ascii="AGaramond-Regular" w:hAnsi="AGaramond-Regular" w:cs="AGaramond-Regular"/>
          <w:sz w:val="21"/>
          <w:szCs w:val="21"/>
        </w:rPr>
        <w:t>Such a restriction on composition, of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course, only has plausibility if there are independent reasons for thinking that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objects really do belong to kinds and that kinds really do pose constraints on the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mereological composition of their members.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aim of the current chapter is to defend this commitment to an ontology</w:t>
      </w:r>
    </w:p>
    <w:p w:rsidR="001A7228" w:rsidRDefault="005667F7" w:rsidP="005667F7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of kinds at least for the particular case of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natural kinds</w:t>
      </w:r>
      <w:r>
        <w:rPr>
          <w:rFonts w:ascii="AGaramond-Regular" w:hAnsi="AGaramond-Regular" w:cs="AGaramond-Regular"/>
          <w:sz w:val="21"/>
          <w:szCs w:val="21"/>
        </w:rPr>
        <w:t xml:space="preserve">. </w:t>
      </w:r>
      <w:r w:rsidR="001A7228">
        <w:rPr>
          <w:rFonts w:ascii="AGaramond-Regular" w:hAnsi="AGaramond-Regular" w:cs="AGaramond-Regular"/>
          <w:sz w:val="21"/>
          <w:szCs w:val="21"/>
        </w:rPr>
        <w:t>(p. 200)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lastRenderedPageBreak/>
        <w:t>Kinds are categories or taxonomic classifications into which particular objects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may be grouped on the basis of shared characteristics of some sort. Judging from</w:t>
      </w:r>
    </w:p>
    <w:p w:rsidR="005667F7" w:rsidRDefault="005667F7" w:rsidP="005667F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the name, one might expect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natural </w:t>
      </w:r>
      <w:r>
        <w:rPr>
          <w:rFonts w:ascii="AGaramond-Regular" w:hAnsi="AGaramond-Regular" w:cs="AGaramond-Regular"/>
          <w:sz w:val="21"/>
          <w:szCs w:val="21"/>
        </w:rPr>
        <w:t>kinds (if indeed there are any) to reflect</w:t>
      </w:r>
    </w:p>
    <w:p w:rsidR="005667F7" w:rsidRDefault="005667F7" w:rsidP="005667F7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those categories which are, in some sense, present in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nature</w:t>
      </w:r>
      <w:r>
        <w:rPr>
          <w:rFonts w:ascii="AGaramond-Regular" w:hAnsi="AGaramond-Regular" w:cs="AGaramond-Regular"/>
          <w:sz w:val="21"/>
          <w:szCs w:val="21"/>
        </w:rPr>
        <w:t>; (201)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aim of the current chapter has been to defend a commitment to an ontology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kinds for the special case of natural kinds; such a commitment plays an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important role in motivating and underwriting the structure-based and restricted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conception of parthood and composition outlined in the previous chapter. The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special case of natural kinds was intended as an illustration of how a commitment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to a certain class of kinds in general, or to specific kinds among them, may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be generated on the basis of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extra-mereological </w:t>
      </w:r>
      <w:r>
        <w:rPr>
          <w:rFonts w:ascii="AGaramond-Regular" w:hAnsi="AGaramond-Regular" w:cs="AGaramond-Regular"/>
          <w:sz w:val="21"/>
          <w:szCs w:val="21"/>
        </w:rPr>
        <w:t>considerations: the belief in the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existence of natural kinds, for example, may be supported by an appeal to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their role in prediction and explanation; particularly noteworthy in this respect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is the weight borne by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scientific </w:t>
      </w:r>
      <w:r>
        <w:rPr>
          <w:rFonts w:ascii="AGaramond-Regular" w:hAnsi="AGaramond-Regular" w:cs="AGaramond-Regular"/>
          <w:sz w:val="21"/>
          <w:szCs w:val="21"/>
        </w:rPr>
        <w:t>natural kinds (e.g., physical, chemical and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biological kinds) in (i) inductive arguments, (ii) the laws of nature and (iii) causal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explanations. Once such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independent </w:t>
      </w:r>
      <w:r>
        <w:rPr>
          <w:rFonts w:ascii="AGaramond-Regular" w:hAnsi="AGaramond-Regular" w:cs="AGaramond-Regular"/>
          <w:sz w:val="21"/>
          <w:szCs w:val="21"/>
        </w:rPr>
        <w:t>reasons for believing in the existence of a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certain kind of object have been given, we find in general that objects must satisfy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more or less stringent mereological constraints in order to count as instances of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kind; as noted in the previous chapter, the types of constraints that are relevant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in this context typically concern the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variety</w:t>
      </w:r>
      <w:r>
        <w:rPr>
          <w:rFonts w:ascii="AGaramond-Regular" w:hAnsi="AGaramond-Regular" w:cs="AGaramond-Regular"/>
          <w:sz w:val="21"/>
          <w:szCs w:val="21"/>
        </w:rPr>
        <w:t xml:space="preserve">,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configuration </w:t>
      </w:r>
      <w:r>
        <w:rPr>
          <w:rFonts w:ascii="AGaramond-Regular" w:hAnsi="AGaramond-Regular" w:cs="AGaramond-Regular"/>
          <w:sz w:val="21"/>
          <w:szCs w:val="21"/>
        </w:rPr>
        <w:t>and sometimes even the</w:t>
      </w:r>
    </w:p>
    <w:p w:rsidR="00361656" w:rsidRDefault="00361656" w:rsidP="00361656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number </w:t>
      </w:r>
      <w:r>
        <w:rPr>
          <w:rFonts w:ascii="AGaramond-Regular" w:hAnsi="AGaramond-Regular" w:cs="AGaramond-Regular"/>
          <w:sz w:val="21"/>
          <w:szCs w:val="21"/>
        </w:rPr>
        <w:t>of material components which must be present in an object in order for it to count as a whole of that particular kind. (233</w:t>
      </w:r>
      <w:r w:rsidR="00922DDE">
        <w:rPr>
          <w:rFonts w:ascii="AGaramond-Regular" w:hAnsi="AGaramond-Regular" w:cs="AGaramond-Regular"/>
          <w:sz w:val="21"/>
          <w:szCs w:val="21"/>
        </w:rPr>
        <w:t>-4</w:t>
      </w:r>
      <w:r>
        <w:rPr>
          <w:rFonts w:ascii="AGaramond-Regular" w:hAnsi="AGaramond-Regular" w:cs="AGaramond-Regular"/>
          <w:sz w:val="21"/>
          <w:szCs w:val="21"/>
        </w:rPr>
        <w:t>)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evidence reviewed above suggests that structures are at least in some contexts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treated as objects, rather than as properties or relations. At the same time, even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when structures are so treated, they are always also closely linked with certain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properties and relations which elements in the domain come to exhibit as a result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of occupying the positions made available by the structure in question; but these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properties and relations are nevertheless in these contexts not identified with the</w:t>
      </w:r>
    </w:p>
    <w:p w:rsidR="00361656" w:rsidRDefault="00361656" w:rsidP="00361656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structures with which they are associated. (p. 252)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Finally, the following fourth response to the scenario raised above is also available.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Once we have found reasons to deny Unrestricted Composition (and I have of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course provided such reasons in Chapter II), we are no longer committed to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endorsing the claim that every plurality of objects itself composes something; in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particular, we are no longer committed to endorsing the claim that the material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components out of which the big statue is constructed themselves compose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 single object, a heap, which constitutes the big statue and has persistence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conditions different from those associated with the big statue. My analysis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predicts that we only have reason to believe in the existence of an object,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when that object falls under a kind whose existence can be justified by appeal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to independent considerations from outside the mereology. And what pressing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non-mereological reasons are there to be committed to the existence of the kind</w:t>
      </w:r>
    </w:p>
    <w:p w:rsidR="00361656" w:rsidRDefault="00361656" w:rsidP="00361656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heap</w:t>
      </w:r>
      <w:r>
        <w:rPr>
          <w:rFonts w:ascii="AGaramond-Regular" w:hAnsi="AGaramond-Regular" w:cs="AGaramond-Regular"/>
          <w:sz w:val="21"/>
          <w:szCs w:val="21"/>
        </w:rPr>
        <w:t>? (258)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And since we have denied Unrestricted Composition,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there is no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single </w:t>
      </w:r>
      <w:r>
        <w:rPr>
          <w:rFonts w:ascii="AGaramond-Regular" w:hAnsi="AGaramond-Regular" w:cs="AGaramond-Regular"/>
          <w:sz w:val="21"/>
          <w:szCs w:val="21"/>
        </w:rPr>
        <w:t>intermediary object which constitutes the big statue and which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can survive being scattered while the big statue cannot. It thus seems as though,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at the very least, various options are available by means of which a hylomorphic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approach may respond to the Grounding Problem and the sort of scenario raised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above; I will leave the question of how to decide between these options, and</w:t>
      </w:r>
    </w:p>
    <w:p w:rsidR="00361656" w:rsidRDefault="00361656" w:rsidP="0036165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perhaps between others that I have not canvassed in the foregoing remarks, open</w:t>
      </w:r>
    </w:p>
    <w:p w:rsidR="00361656" w:rsidRDefault="00361656" w:rsidP="00361656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for future discussion. (p. 259)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Each of these areas conceives of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a </w:t>
      </w:r>
      <w:r>
        <w:rPr>
          <w:rFonts w:ascii="AGaramond-Regular" w:hAnsi="AGaramond-Regular" w:cs="AGaramond-Regular"/>
          <w:sz w:val="21"/>
          <w:szCs w:val="21"/>
        </w:rPr>
        <w:t>structure as the sort of entity which (i) makes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available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positions </w:t>
      </w:r>
      <w:r>
        <w:rPr>
          <w:rFonts w:ascii="AGaramond-Regular" w:hAnsi="AGaramond-Regular" w:cs="AGaramond-Regular"/>
          <w:sz w:val="21"/>
          <w:szCs w:val="21"/>
        </w:rPr>
        <w:t xml:space="preserve">or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places </w:t>
      </w:r>
      <w:r>
        <w:rPr>
          <w:rFonts w:ascii="AGaramond-Regular" w:hAnsi="AGaramond-Regular" w:cs="AGaramond-Regular"/>
          <w:sz w:val="21"/>
          <w:szCs w:val="21"/>
        </w:rPr>
        <w:t>for other objects to occupy; and which (ii) places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lastRenderedPageBreak/>
        <w:t>two distinctive sorts of constraints on these positions. The first sort of constraint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concerns the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type </w:t>
      </w:r>
      <w:r>
        <w:rPr>
          <w:rFonts w:ascii="AGaramond-Regular" w:hAnsi="AGaramond-Regular" w:cs="AGaramond-Regular"/>
          <w:sz w:val="21"/>
          <w:szCs w:val="21"/>
        </w:rPr>
        <w:t>of constituent which may occupy the position in question.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second sort of constraint concerns the particular geometrical or topological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configuration </w:t>
      </w:r>
      <w:r>
        <w:rPr>
          <w:rFonts w:ascii="AGaramond-Regular" w:hAnsi="AGaramond-Regular" w:cs="AGaramond-Regular"/>
          <w:sz w:val="21"/>
          <w:szCs w:val="21"/>
        </w:rPr>
        <w:t xml:space="preserve">or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arrangement </w:t>
      </w:r>
      <w:r>
        <w:rPr>
          <w:rFonts w:ascii="AGaramond-Regular" w:hAnsi="AGaramond-Regular" w:cs="AGaramond-Regular"/>
          <w:sz w:val="21"/>
          <w:szCs w:val="21"/>
        </w:rPr>
        <w:t>which must be exhibited by these constituents, as a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result of occupying the positions made available by the structure.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In some cases, these two sorts of constraints a structure places on its occupants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also conspire to generate restrictions as to the exact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number </w:t>
      </w:r>
      <w:r>
        <w:rPr>
          <w:rFonts w:ascii="AGaramond-Regular" w:hAnsi="AGaramond-Regular" w:cs="AGaramond-Regular"/>
          <w:sz w:val="21"/>
          <w:szCs w:val="21"/>
        </w:rPr>
        <w:t>of constituents a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particular kind of compound must have: for example, the structure associated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withH</w:t>
      </w:r>
      <w:r>
        <w:rPr>
          <w:rFonts w:ascii="AGaramond-Regular" w:hAnsi="AGaramond-Regular" w:cs="AGaramond-Regular"/>
          <w:sz w:val="15"/>
          <w:szCs w:val="15"/>
        </w:rPr>
        <w:t>2</w:t>
      </w:r>
      <w:r>
        <w:rPr>
          <w:rFonts w:ascii="AGaramond-Regular" w:hAnsi="AGaramond-Regular" w:cs="AGaramond-Regular"/>
          <w:sz w:val="21"/>
          <w:szCs w:val="21"/>
        </w:rPr>
        <w:t>Omolecules makes available exactly three positions that may be occupied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by hydrogen and oxygen atoms respectively, while that associated with the logical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connective ‘‘and’’ makes available exactly two positions that may be occupied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by any grammatically well-formed truth-evaluable sentence of the language in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question. Other structures, however, are more lenient when it comes to the precise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number of positions allowed in a particular formation: the musical structure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associated with a twelve-bar blues, for example, does not legislate exactly how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many notes must occur in a particular manifestation of this structure; moreover,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‘‘John is likely to leave’’ and ‘‘John is likely to leave in a hurry’’ both exemplify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basic pattern of a raising construction, even though the second sentence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contains more words than the first. (259)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The numerical identity of the items occupying the positions made available by a structure is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generally unimportant to the question of whether the structure in question has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been successfully implemented; the individual occupants of these positions are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thus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variable </w:t>
      </w:r>
      <w:r>
        <w:rPr>
          <w:rFonts w:ascii="AGaramond-Regular" w:hAnsi="AGaramond-Regular" w:cs="AGaramond-Regular"/>
          <w:sz w:val="21"/>
          <w:szCs w:val="21"/>
        </w:rPr>
        <w:t>from the point of view of the structure. What matters concerning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these items, and what is hence taken as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>invariable</w:t>
      </w:r>
      <w:r>
        <w:rPr>
          <w:rFonts w:ascii="AGaramond-Regular" w:hAnsi="AGaramond-Regular" w:cs="AGaramond-Regular"/>
          <w:sz w:val="21"/>
          <w:szCs w:val="21"/>
        </w:rPr>
        <w:t>, from the point of view of the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structure, is only their type and their configuration.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When we say that structural concerns are prominent in a specific discipline,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what we mean is that the theories, axioms or laws formulated by the discipline</w:t>
      </w:r>
    </w:p>
    <w:p w:rsidR="001A7228" w:rsidRDefault="001A7228" w:rsidP="001A7228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in question focus in particular on capturing the behavior of those elements that</w:t>
      </w:r>
    </w:p>
    <w:p w:rsidR="001A7228" w:rsidRDefault="001A7228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are designated as </w:t>
      </w:r>
      <w:r>
        <w:rPr>
          <w:rFonts w:ascii="AGaramond-Italic" w:eastAsia="AGaramond-Italic" w:hAnsi="AGaramond-Regular" w:cs="AGaramond-Italic"/>
          <w:i/>
          <w:iCs/>
          <w:sz w:val="21"/>
          <w:szCs w:val="21"/>
        </w:rPr>
        <w:t xml:space="preserve">invariable </w:t>
      </w:r>
      <w:r>
        <w:rPr>
          <w:rFonts w:ascii="AGaramond-Regular" w:hAnsi="AGaramond-Regular" w:cs="AGaramond-Regular"/>
          <w:sz w:val="21"/>
          <w:szCs w:val="21"/>
        </w:rPr>
        <w:t>within a given context. (259-60)</w:t>
      </w:r>
    </w:p>
    <w:p w:rsidR="00361656" w:rsidRPr="001A7228" w:rsidRDefault="00361656" w:rsidP="001A7228">
      <w:pPr>
        <w:jc w:val="both"/>
        <w:rPr>
          <w:rFonts w:ascii="AGaramond-Regular" w:hAnsi="AGaramond-Regular" w:cs="AGaramond-Regular"/>
          <w:sz w:val="21"/>
          <w:szCs w:val="21"/>
        </w:rPr>
      </w:pPr>
    </w:p>
    <w:sectPr w:rsidR="00361656" w:rsidRPr="001A7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Exp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aramond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CB"/>
    <w:rsid w:val="001A7228"/>
    <w:rsid w:val="0034601F"/>
    <w:rsid w:val="00361656"/>
    <w:rsid w:val="00376B9E"/>
    <w:rsid w:val="00405139"/>
    <w:rsid w:val="00437E45"/>
    <w:rsid w:val="004B48D0"/>
    <w:rsid w:val="005667F7"/>
    <w:rsid w:val="005D0150"/>
    <w:rsid w:val="007405AA"/>
    <w:rsid w:val="00867D82"/>
    <w:rsid w:val="00922DDE"/>
    <w:rsid w:val="00A207ED"/>
    <w:rsid w:val="00C71012"/>
    <w:rsid w:val="00CB12F4"/>
    <w:rsid w:val="00D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3204"/>
  <w15:chartTrackingRefBased/>
  <w15:docId w15:val="{EEE43152-C0BE-4674-90ED-F733C01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ilpapers.org/rec/KOSFMS?ref=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Vacariu</dc:creator>
  <cp:keywords/>
  <dc:description/>
  <cp:lastModifiedBy>Mihai Vacariu</cp:lastModifiedBy>
  <cp:revision>13</cp:revision>
  <dcterms:created xsi:type="dcterms:W3CDTF">2018-07-23T10:30:00Z</dcterms:created>
  <dcterms:modified xsi:type="dcterms:W3CDTF">2018-07-23T11:36:00Z</dcterms:modified>
</cp:coreProperties>
</file>