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DB7D6" w14:textId="685F4CE1" w:rsidR="008C2DA2" w:rsidRPr="008C2DA2" w:rsidRDefault="008C2DA2" w:rsidP="008C2DA2">
      <w:pPr>
        <w:jc w:val="right"/>
        <w:rPr>
          <w:sz w:val="24"/>
          <w:szCs w:val="24"/>
        </w:rPr>
      </w:pPr>
      <w:r w:rsidRPr="008C2DA2">
        <w:rPr>
          <w:sz w:val="24"/>
          <w:szCs w:val="24"/>
        </w:rPr>
        <w:t>Forthcoming in</w:t>
      </w:r>
      <w:r>
        <w:rPr>
          <w:sz w:val="24"/>
          <w:szCs w:val="24"/>
        </w:rPr>
        <w:t xml:space="preserve"> the</w:t>
      </w:r>
      <w:r w:rsidRPr="008C2DA2">
        <w:rPr>
          <w:sz w:val="24"/>
          <w:szCs w:val="24"/>
        </w:rPr>
        <w:t xml:space="preserve"> </w:t>
      </w:r>
      <w:r w:rsidRPr="008C2DA2">
        <w:rPr>
          <w:i/>
          <w:sz w:val="24"/>
          <w:szCs w:val="24"/>
        </w:rPr>
        <w:t xml:space="preserve">Routledge Handbook of Philosophy of Pain, </w:t>
      </w:r>
      <w:r w:rsidRPr="008C2DA2">
        <w:rPr>
          <w:sz w:val="24"/>
          <w:szCs w:val="24"/>
        </w:rPr>
        <w:t>J. Corns, Ed.</w:t>
      </w:r>
    </w:p>
    <w:p w14:paraId="51D20965" w14:textId="77777777" w:rsidR="008C2DA2" w:rsidRDefault="008C2DA2" w:rsidP="000C532F">
      <w:pPr>
        <w:jc w:val="center"/>
        <w:rPr>
          <w:sz w:val="28"/>
          <w:szCs w:val="28"/>
        </w:rPr>
      </w:pPr>
    </w:p>
    <w:p w14:paraId="01BF5AC9" w14:textId="77777777" w:rsidR="008C2DA2" w:rsidRDefault="008C2DA2" w:rsidP="000C532F">
      <w:pPr>
        <w:jc w:val="center"/>
        <w:rPr>
          <w:sz w:val="28"/>
          <w:szCs w:val="28"/>
        </w:rPr>
      </w:pPr>
    </w:p>
    <w:p w14:paraId="59C2F2AF" w14:textId="77777777" w:rsidR="00B1759A" w:rsidRPr="003F490A" w:rsidRDefault="000C532F" w:rsidP="000C532F">
      <w:pPr>
        <w:jc w:val="center"/>
        <w:rPr>
          <w:sz w:val="28"/>
          <w:szCs w:val="28"/>
        </w:rPr>
      </w:pPr>
      <w:r w:rsidRPr="003F490A">
        <w:rPr>
          <w:sz w:val="28"/>
          <w:szCs w:val="28"/>
        </w:rPr>
        <w:t>Pain and Incorrigibility</w:t>
      </w:r>
    </w:p>
    <w:p w14:paraId="26E516E4" w14:textId="77777777" w:rsidR="00B1759A" w:rsidRDefault="00B1759A" w:rsidP="007D68D0">
      <w:pPr>
        <w:jc w:val="center"/>
      </w:pPr>
      <w:r>
        <w:t>Peter Langland-Hassan</w:t>
      </w:r>
    </w:p>
    <w:p w14:paraId="1257383E" w14:textId="52642EAC" w:rsidR="009008AA" w:rsidRPr="009008AA" w:rsidRDefault="009008AA" w:rsidP="007D68D0">
      <w:pPr>
        <w:jc w:val="center"/>
        <w:rPr>
          <w:i/>
        </w:rPr>
      </w:pPr>
      <w:r w:rsidRPr="009008AA">
        <w:rPr>
          <w:i/>
        </w:rPr>
        <w:t>University of Cincinnati</w:t>
      </w:r>
      <w:r w:rsidR="008C2DA2">
        <w:rPr>
          <w:i/>
        </w:rPr>
        <w:t xml:space="preserve">                                                                </w:t>
      </w:r>
    </w:p>
    <w:p w14:paraId="59378F55" w14:textId="72A6313D" w:rsidR="00533D08" w:rsidRPr="00533D08" w:rsidRDefault="00533D08">
      <w:r>
        <w:t xml:space="preserve"> </w:t>
      </w:r>
    </w:p>
    <w:p w14:paraId="085169EE" w14:textId="77777777" w:rsidR="00E06FA6" w:rsidRPr="007D68D0" w:rsidRDefault="007D68D0">
      <w:pPr>
        <w:rPr>
          <w:i/>
        </w:rPr>
      </w:pPr>
      <w:r>
        <w:rPr>
          <w:i/>
        </w:rPr>
        <w:t>Introduction</w:t>
      </w:r>
    </w:p>
    <w:p w14:paraId="6639AF18" w14:textId="5EB7CD3C" w:rsidR="00776BD9" w:rsidRDefault="00C27D07">
      <w:r>
        <w:t xml:space="preserve">Could Jane </w:t>
      </w:r>
      <w:r w:rsidR="001501BF">
        <w:t xml:space="preserve">be </w:t>
      </w:r>
      <w:r w:rsidR="00FF4D92">
        <w:t xml:space="preserve">in </w:t>
      </w:r>
      <w:r w:rsidR="007D68D0">
        <w:t xml:space="preserve">pain, </w:t>
      </w:r>
      <w:r w:rsidR="001501BF">
        <w:t>while believing</w:t>
      </w:r>
      <w:r w:rsidR="000A5769">
        <w:t xml:space="preserve"> </w:t>
      </w:r>
      <w:r>
        <w:t>s</w:t>
      </w:r>
      <w:r w:rsidR="007D68D0">
        <w:t xml:space="preserve">he is not?  </w:t>
      </w:r>
      <w:r w:rsidR="00DE49B1">
        <w:t>C</w:t>
      </w:r>
      <w:r w:rsidR="00D807D7">
        <w:t>ould</w:t>
      </w:r>
      <w:r>
        <w:t xml:space="preserve"> </w:t>
      </w:r>
      <w:r w:rsidR="00DE49B1">
        <w:t>Sh</w:t>
      </w:r>
      <w:r w:rsidR="001A5E87">
        <w:t xml:space="preserve">ane feel </w:t>
      </w:r>
      <w:r w:rsidR="001A5E87" w:rsidRPr="00DE49B1">
        <w:rPr>
          <w:i/>
        </w:rPr>
        <w:t>no</w:t>
      </w:r>
      <w:r w:rsidR="001A5E87">
        <w:t xml:space="preserve"> pain, </w:t>
      </w:r>
      <w:r>
        <w:t>while believing that he does</w:t>
      </w:r>
      <w:r w:rsidR="00FF4D92">
        <w:t xml:space="preserve">?  </w:t>
      </w:r>
      <w:r w:rsidR="00D807D7">
        <w:t xml:space="preserve">If </w:t>
      </w:r>
      <w:r w:rsidR="0088729C">
        <w:t>our</w:t>
      </w:r>
      <w:r w:rsidR="00044F4F">
        <w:t xml:space="preserve"> beliefs about </w:t>
      </w:r>
      <w:r w:rsidR="0088729C">
        <w:t>our</w:t>
      </w:r>
      <w:r w:rsidR="00D807D7">
        <w:t xml:space="preserve"> own </w:t>
      </w:r>
      <w:r w:rsidR="001A5E87">
        <w:t xml:space="preserve">current </w:t>
      </w:r>
      <w:r w:rsidR="00D807D7">
        <w:t>pains are</w:t>
      </w:r>
      <w:r w:rsidR="00044F4F">
        <w:t xml:space="preserve"> </w:t>
      </w:r>
      <w:r w:rsidR="00044F4F">
        <w:rPr>
          <w:i/>
        </w:rPr>
        <w:t>incorrigible</w:t>
      </w:r>
      <w:r w:rsidR="00D807D7">
        <w:t xml:space="preserve">, the answer to both questions </w:t>
      </w:r>
      <w:r w:rsidR="0088729C">
        <w:t xml:space="preserve">must be </w:t>
      </w:r>
      <w:r w:rsidR="00D807D7">
        <w:t xml:space="preserve">no.  </w:t>
      </w:r>
    </w:p>
    <w:p w14:paraId="772F6B7D" w14:textId="0ABDCA82" w:rsidR="00DE77B1" w:rsidRDefault="00F3503C" w:rsidP="009E50F6">
      <w:r>
        <w:t>To be</w:t>
      </w:r>
      <w:r w:rsidR="003811BC">
        <w:t xml:space="preserve"> </w:t>
      </w:r>
      <w:r>
        <w:rPr>
          <w:i/>
        </w:rPr>
        <w:t>incorrigible</w:t>
      </w:r>
      <w:r w:rsidR="00D42045">
        <w:t xml:space="preserve"> </w:t>
      </w:r>
      <w:r w:rsidR="00F25F61">
        <w:t>on a topic</w:t>
      </w:r>
      <w:r w:rsidR="00D42045">
        <w:t xml:space="preserve"> is equivalent to</w:t>
      </w:r>
      <w:r>
        <w:t xml:space="preserve"> being</w:t>
      </w:r>
      <w:r w:rsidR="00D42045">
        <w:t xml:space="preserve"> </w:t>
      </w:r>
      <w:r>
        <w:rPr>
          <w:i/>
        </w:rPr>
        <w:t>infallible</w:t>
      </w:r>
      <w:r w:rsidR="00D42045">
        <w:t xml:space="preserve">:  any belief </w:t>
      </w:r>
      <w:r w:rsidR="00776BD9">
        <w:t>one</w:t>
      </w:r>
      <w:r w:rsidR="00D42045">
        <w:t xml:space="preserve"> form</w:t>
      </w:r>
      <w:r w:rsidR="00776BD9">
        <w:t>s</w:t>
      </w:r>
      <w:r w:rsidR="00D42045">
        <w:t xml:space="preserve"> </w:t>
      </w:r>
      <w:r w:rsidR="006337DC">
        <w:t xml:space="preserve">simply </w:t>
      </w:r>
      <w:r w:rsidR="008E4F1E">
        <w:t>cannot be</w:t>
      </w:r>
      <w:r w:rsidR="00D42045">
        <w:t xml:space="preserve"> wrong</w:t>
      </w:r>
      <w:r w:rsidR="00776BD9">
        <w:t xml:space="preserve">.   </w:t>
      </w:r>
      <w:r w:rsidR="00261829">
        <w:t>At</w:t>
      </w:r>
      <w:r>
        <w:t xml:space="preserve"> least, </w:t>
      </w:r>
      <w:r w:rsidR="00261829">
        <w:t xml:space="preserve">that </w:t>
      </w:r>
      <w:r>
        <w:t xml:space="preserve">is how I will understand incorrigibility.  </w:t>
      </w:r>
      <w:r w:rsidR="00776BD9">
        <w:t xml:space="preserve">Some in philosophy </w:t>
      </w:r>
      <w:r w:rsidR="00ED6E7D">
        <w:t>understand</w:t>
      </w:r>
      <w:r w:rsidR="00597F89">
        <w:t xml:space="preserve"> incorrigibility as </w:t>
      </w:r>
      <w:r w:rsidR="00D42045">
        <w:t xml:space="preserve">a mere </w:t>
      </w:r>
      <w:r w:rsidR="00D42045" w:rsidRPr="00044F4F">
        <w:rPr>
          <w:i/>
        </w:rPr>
        <w:t>unwillingness</w:t>
      </w:r>
      <w:r w:rsidR="00D42045">
        <w:t xml:space="preserve"> to have one’s beli</w:t>
      </w:r>
      <w:r w:rsidR="00776BD9">
        <w:t>efs corrected</w:t>
      </w:r>
      <w:r w:rsidR="00C27FBA">
        <w:t>, or</w:t>
      </w:r>
      <w:r w:rsidR="00247C13">
        <w:t xml:space="preserve"> </w:t>
      </w:r>
      <w:r w:rsidR="00D42045">
        <w:t xml:space="preserve">an inability </w:t>
      </w:r>
      <w:r w:rsidR="00D42045" w:rsidRPr="00247C13">
        <w:t>of</w:t>
      </w:r>
      <w:r w:rsidR="00D42045" w:rsidRPr="003811BC">
        <w:t xml:space="preserve"> others </w:t>
      </w:r>
      <w:r w:rsidR="00D42045" w:rsidRPr="006337DC">
        <w:rPr>
          <w:i/>
        </w:rPr>
        <w:t>to</w:t>
      </w:r>
      <w:r w:rsidR="00D42045">
        <w:t xml:space="preserve"> </w:t>
      </w:r>
      <w:r w:rsidR="00B66594">
        <w:rPr>
          <w:i/>
        </w:rPr>
        <w:t xml:space="preserve">convincingly </w:t>
      </w:r>
      <w:r w:rsidR="00D42045" w:rsidRPr="008E4F1E">
        <w:rPr>
          <w:i/>
        </w:rPr>
        <w:t>show</w:t>
      </w:r>
      <w:r w:rsidR="00D42045">
        <w:t xml:space="preserve"> that </w:t>
      </w:r>
      <w:r w:rsidR="00DE7D41">
        <w:t>one’s belief is</w:t>
      </w:r>
      <w:r w:rsidR="00D42045">
        <w:t xml:space="preserve"> incorrect (</w:t>
      </w:r>
      <w:r w:rsidR="008E4F1E">
        <w:t xml:space="preserve">see </w:t>
      </w:r>
      <w:r w:rsidR="00D42045">
        <w:t>Schwitzgebel</w:t>
      </w:r>
      <w:r w:rsidR="008E4F1E">
        <w:t xml:space="preserve"> </w:t>
      </w:r>
      <w:r w:rsidR="001D3F93">
        <w:fldChar w:fldCharType="begin"/>
      </w:r>
      <w:r w:rsidR="001D3F93">
        <w:instrText xml:space="preserve"> ADDIN EN.CITE &lt;EndNote&gt;&lt;Cite ExcludeAuth="1"&gt;&lt;Author&gt;Schwitzgebel&lt;/Author&gt;&lt;Year&gt;2014&lt;/Year&gt;&lt;RecNum&gt;756&lt;/RecNum&gt;&lt;DisplayText&gt;(2014)&lt;/DisplayText&gt;&lt;record&gt;&lt;rec-number&gt;756&lt;/rec-number&gt;&lt;foreign-keys&gt;&lt;key app="EN" db-id="v0vwpaxsertptmes2t5p2228rf5f520wfd5p"&gt;756&lt;/key&gt;&lt;/foreign-keys&gt;&lt;ref-type name="Electronic Book Section"&gt;60&lt;/ref-type&gt;&lt;contributors&gt;&lt;authors&gt;&lt;author&gt;Schwitzgebel, E.&lt;/author&gt;&lt;/authors&gt;&lt;secondary-authors&gt;&lt;author&gt;Edward N. Zalta&lt;/author&gt;&lt;/secondary-authors&gt;&lt;/contributors&gt;&lt;titles&gt;&lt;title&gt;Introspection&lt;/title&gt;&lt;secondary-title&gt;The Stanford Encyclopedia of Philosophy&lt;/secondary-title&gt;&lt;/titles&gt;&lt;dates&gt;&lt;year&gt;2014&lt;/year&gt;&lt;/dates&gt;&lt;urls&gt;&lt;related-urls&gt;&lt;url&gt;http://plato.stanford.edu/archives/sum2014/entries/introspection/&lt;/url&gt;&lt;/related-urls&gt;&lt;/urls&gt;&lt;/record&gt;&lt;/Cite&gt;&lt;/EndNote&gt;</w:instrText>
      </w:r>
      <w:r w:rsidR="001D3F93">
        <w:fldChar w:fldCharType="separate"/>
      </w:r>
      <w:r w:rsidR="001D3F93">
        <w:rPr>
          <w:noProof/>
        </w:rPr>
        <w:t>(2014)</w:t>
      </w:r>
      <w:r w:rsidR="001D3F93">
        <w:fldChar w:fldCharType="end"/>
      </w:r>
      <w:r w:rsidR="008E4F1E">
        <w:t xml:space="preserve"> for discussion</w:t>
      </w:r>
      <w:r w:rsidR="00D42045">
        <w:t xml:space="preserve">).  </w:t>
      </w:r>
      <w:r>
        <w:t>That</w:t>
      </w:r>
      <w:r w:rsidR="00776BD9">
        <w:t xml:space="preserve"> sort of incorrigibility is consistent with </w:t>
      </w:r>
      <w:r w:rsidR="001F765A">
        <w:t>a</w:t>
      </w:r>
      <w:r w:rsidR="00776BD9">
        <w:t xml:space="preserve"> person </w:t>
      </w:r>
      <w:r w:rsidR="00776BD9" w:rsidRPr="00776BD9">
        <w:rPr>
          <w:i/>
        </w:rPr>
        <w:t>in fact</w:t>
      </w:r>
      <w:r w:rsidR="00776BD9">
        <w:t xml:space="preserve"> being </w:t>
      </w:r>
      <w:r w:rsidR="00D22839">
        <w:t>wrong</w:t>
      </w:r>
      <w:r w:rsidR="00DE7D41">
        <w:t xml:space="preserve"> about the matter at hand</w:t>
      </w:r>
      <w:r w:rsidR="00D22839">
        <w:t xml:space="preserve">. </w:t>
      </w:r>
    </w:p>
    <w:p w14:paraId="774B6AA6" w14:textId="77777777" w:rsidR="00D0162D" w:rsidRDefault="00261829" w:rsidP="009E50F6">
      <w:r>
        <w:t>Yet my</w:t>
      </w:r>
      <w:r w:rsidR="00DE77B1">
        <w:t xml:space="preserve"> </w:t>
      </w:r>
      <w:r w:rsidR="008E4F1E">
        <w:t xml:space="preserve">interest </w:t>
      </w:r>
      <w:r w:rsidR="00776BD9">
        <w:t>is</w:t>
      </w:r>
      <w:r w:rsidR="009D6357">
        <w:t xml:space="preserve"> in the strong</w:t>
      </w:r>
      <w:r w:rsidR="008E4F1E">
        <w:t xml:space="preserve"> thesis that</w:t>
      </w:r>
      <w:r w:rsidR="003811BC">
        <w:t xml:space="preserve"> </w:t>
      </w:r>
      <w:r w:rsidR="008E4F1E">
        <w:t xml:space="preserve">we simply </w:t>
      </w:r>
      <w:r w:rsidR="008E4F1E" w:rsidRPr="00247C13">
        <w:rPr>
          <w:i/>
        </w:rPr>
        <w:t>cannot be wrong</w:t>
      </w:r>
      <w:r w:rsidR="008E4F1E">
        <w:t xml:space="preserve"> about our</w:t>
      </w:r>
      <w:r w:rsidR="006337DC">
        <w:t xml:space="preserve"> own current</w:t>
      </w:r>
      <w:r w:rsidR="00D22839">
        <w:t xml:space="preserve"> pains</w:t>
      </w:r>
      <w:r w:rsidR="008E4F1E">
        <w:t xml:space="preserve">. </w:t>
      </w:r>
      <w:r w:rsidR="00F25F61">
        <w:t xml:space="preserve"> </w:t>
      </w:r>
      <w:r w:rsidR="001501BF">
        <w:t xml:space="preserve">Whether or not </w:t>
      </w:r>
      <w:r w:rsidR="00247C13">
        <w:t>one</w:t>
      </w:r>
      <w:r w:rsidR="00D807D7">
        <w:t xml:space="preserve"> find</w:t>
      </w:r>
      <w:r w:rsidR="00247C13">
        <w:t>s</w:t>
      </w:r>
      <w:r w:rsidR="001501BF">
        <w:t xml:space="preserve"> it</w:t>
      </w:r>
      <w:r w:rsidR="00F90DC6">
        <w:t xml:space="preserve"> immediately</w:t>
      </w:r>
      <w:r w:rsidR="001501BF">
        <w:t xml:space="preserve"> </w:t>
      </w:r>
      <w:r w:rsidR="00666E87">
        <w:t xml:space="preserve">plausible </w:t>
      </w:r>
      <w:r w:rsidR="00C27D07">
        <w:t xml:space="preserve">that </w:t>
      </w:r>
      <w:r w:rsidR="0088729C">
        <w:t>we</w:t>
      </w:r>
      <w:r w:rsidR="00C27D07">
        <w:t xml:space="preserve"> </w:t>
      </w:r>
      <w:r w:rsidR="00D807D7">
        <w:t>are</w:t>
      </w:r>
      <w:r w:rsidR="0088729C">
        <w:t xml:space="preserve"> </w:t>
      </w:r>
      <w:r w:rsidR="00D807D7">
        <w:t xml:space="preserve">incorrigible about </w:t>
      </w:r>
      <w:r w:rsidR="0088729C">
        <w:t>our</w:t>
      </w:r>
      <w:r w:rsidR="00D807D7">
        <w:t xml:space="preserve"> pains</w:t>
      </w:r>
      <w:r w:rsidR="001501BF">
        <w:t xml:space="preserve"> </w:t>
      </w:r>
      <w:r w:rsidR="00247C13">
        <w:t>in this strong</w:t>
      </w:r>
      <w:r w:rsidR="00DE77B1">
        <w:t xml:space="preserve"> sense, </w:t>
      </w:r>
      <w:r w:rsidR="001501BF">
        <w:t>reflection on the question</w:t>
      </w:r>
      <w:r w:rsidR="00DE49B1">
        <w:t xml:space="preserve"> reveals interesting tensions and ambiguities in the ordinary notion of</w:t>
      </w:r>
      <w:r w:rsidR="001501BF">
        <w:t xml:space="preserve"> pain</w:t>
      </w:r>
      <w:r w:rsidR="00C27D07">
        <w:t xml:space="preserve">, and in our </w:t>
      </w:r>
      <w:r w:rsidR="00165466">
        <w:t>understanding</w:t>
      </w:r>
      <w:r w:rsidR="00C27D07">
        <w:t xml:space="preserve"> of </w:t>
      </w:r>
      <w:r w:rsidR="006337DC">
        <w:t>mental processes and sensations generally.</w:t>
      </w:r>
    </w:p>
    <w:p w14:paraId="6186B211" w14:textId="6308577F" w:rsidR="00533D08" w:rsidRDefault="00D0162D" w:rsidP="009E50F6">
      <w:r>
        <w:t xml:space="preserve">Speaking for myself, I came to this essay highly skeptical </w:t>
      </w:r>
      <w:r w:rsidR="00ED6E7D">
        <w:t xml:space="preserve">that we have incorrigibility </w:t>
      </w:r>
      <w:r w:rsidR="00172397">
        <w:t>with respect to an</w:t>
      </w:r>
      <w:r w:rsidR="00ED6E7D">
        <w:t>y of our mental or bodily states</w:t>
      </w:r>
      <w:r w:rsidR="00172397">
        <w:t>;</w:t>
      </w:r>
      <w:r w:rsidR="00533D08">
        <w:t xml:space="preserve"> </w:t>
      </w:r>
      <w:r>
        <w:t>yet I leave it thinking that, in the case of pain, matters are not so straightforward.</w:t>
      </w:r>
    </w:p>
    <w:p w14:paraId="231AE1B3" w14:textId="7E1F420A" w:rsidR="00044F4F" w:rsidRDefault="00044F4F">
      <w:pPr>
        <w:rPr>
          <w:i/>
        </w:rPr>
      </w:pPr>
      <w:r>
        <w:rPr>
          <w:i/>
        </w:rPr>
        <w:t>The incorrigible</w:t>
      </w:r>
      <w:r w:rsidR="005D6C1C">
        <w:rPr>
          <w:i/>
        </w:rPr>
        <w:t xml:space="preserve"> and</w:t>
      </w:r>
      <w:r w:rsidR="00C737EB">
        <w:rPr>
          <w:i/>
        </w:rPr>
        <w:t xml:space="preserve"> the </w:t>
      </w:r>
      <w:r>
        <w:rPr>
          <w:i/>
        </w:rPr>
        <w:t>self-intimating</w:t>
      </w:r>
    </w:p>
    <w:p w14:paraId="59514453" w14:textId="7D6F3AE8" w:rsidR="00044F4F" w:rsidRDefault="00044F4F">
      <w:r>
        <w:t xml:space="preserve">The question of incorrigibility is fundamentally </w:t>
      </w:r>
      <w:r w:rsidR="004633F4">
        <w:t xml:space="preserve">a question </w:t>
      </w:r>
      <w:r>
        <w:t xml:space="preserve">about beliefs.  We want to know whether </w:t>
      </w:r>
      <w:r w:rsidR="004633F4">
        <w:t xml:space="preserve">a certain class of </w:t>
      </w:r>
      <w:r w:rsidR="00295439">
        <w:t>beliefs</w:t>
      </w:r>
      <w:r w:rsidR="00DE49B1">
        <w:t xml:space="preserve">—beliefs about </w:t>
      </w:r>
      <w:r w:rsidR="001B701A">
        <w:t>whether we are in pain</w:t>
      </w:r>
      <w:r w:rsidR="00DE49B1">
        <w:t>—</w:t>
      </w:r>
      <w:r w:rsidR="004633F4">
        <w:t xml:space="preserve">can ever </w:t>
      </w:r>
      <w:r>
        <w:t>be wrong.  There are two</w:t>
      </w:r>
      <w:r w:rsidR="00295439">
        <w:t xml:space="preserve"> </w:t>
      </w:r>
      <w:r w:rsidR="001B701A">
        <w:t>ways we could err in such beliefs</w:t>
      </w:r>
      <w:r>
        <w:t xml:space="preserve">.  </w:t>
      </w:r>
      <w:r w:rsidR="004633F4">
        <w:t>We might believe that we are in pain wh</w:t>
      </w:r>
      <w:r w:rsidR="00EB461B">
        <w:t>en we are not.  Let us call</w:t>
      </w:r>
      <w:r w:rsidR="004633F4">
        <w:t xml:space="preserve"> this a </w:t>
      </w:r>
      <w:r w:rsidR="004633F4">
        <w:rPr>
          <w:i/>
        </w:rPr>
        <w:t>false positive</w:t>
      </w:r>
      <w:r w:rsidR="004633F4">
        <w:t>.  And we might believe we are not in pain when we are</w:t>
      </w:r>
      <w:r w:rsidR="00973855">
        <w:t xml:space="preserve"> in pain</w:t>
      </w:r>
      <w:r w:rsidR="004633F4">
        <w:t>.</w:t>
      </w:r>
      <w:r w:rsidR="00973855">
        <w:t xml:space="preserve">  </w:t>
      </w:r>
      <w:r w:rsidR="00EB461B">
        <w:t>Let us call this a</w:t>
      </w:r>
      <w:r w:rsidR="00973855">
        <w:t xml:space="preserve"> </w:t>
      </w:r>
      <w:r w:rsidR="00973855">
        <w:rPr>
          <w:i/>
        </w:rPr>
        <w:t>false negative</w:t>
      </w:r>
      <w:r w:rsidR="00973855">
        <w:t>.</w:t>
      </w:r>
      <w:r w:rsidR="004633F4">
        <w:t xml:space="preserve">  </w:t>
      </w:r>
      <w:r w:rsidR="001752C4">
        <w:t xml:space="preserve">We can then understand the </w:t>
      </w:r>
      <w:r w:rsidR="001752C4">
        <w:rPr>
          <w:i/>
        </w:rPr>
        <w:t xml:space="preserve">incorrigibility thesis </w:t>
      </w:r>
      <w:r w:rsidR="001752C4">
        <w:t>as</w:t>
      </w:r>
      <w:r>
        <w:t xml:space="preserve"> </w:t>
      </w:r>
      <w:r w:rsidR="001752C4">
        <w:t>holding</w:t>
      </w:r>
      <w:r>
        <w:t xml:space="preserve"> that there </w:t>
      </w:r>
      <w:r w:rsidR="004606DE">
        <w:t>can be</w:t>
      </w:r>
      <w:r>
        <w:t xml:space="preserve"> no </w:t>
      </w:r>
      <w:r w:rsidR="00973855">
        <w:t xml:space="preserve">false positives and no </w:t>
      </w:r>
      <w:r w:rsidR="00DE49B1">
        <w:t>false negatives with respect to</w:t>
      </w:r>
      <w:r w:rsidR="001A5E87">
        <w:t xml:space="preserve"> </w:t>
      </w:r>
      <w:r w:rsidR="004606DE">
        <w:t>one’s</w:t>
      </w:r>
      <w:r w:rsidR="001A5E87">
        <w:t xml:space="preserve"> own current pains</w:t>
      </w:r>
      <w:r w:rsidR="00973855">
        <w:t>.</w:t>
      </w:r>
      <w:r w:rsidR="00C737EB">
        <w:t xml:space="preserve">  </w:t>
      </w:r>
    </w:p>
    <w:p w14:paraId="7AF0BAAD" w14:textId="2F19D1FF" w:rsidR="009E50F6" w:rsidRPr="00C737EB" w:rsidRDefault="009E50F6">
      <w:r>
        <w:t xml:space="preserve">Note that the question of </w:t>
      </w:r>
      <w:r w:rsidRPr="00712B4B">
        <w:rPr>
          <w:i/>
        </w:rPr>
        <w:t>whether</w:t>
      </w:r>
      <w:r>
        <w:t xml:space="preserve"> we are in pain is different from the question of what </w:t>
      </w:r>
      <w:r>
        <w:rPr>
          <w:i/>
        </w:rPr>
        <w:t xml:space="preserve">kind </w:t>
      </w:r>
      <w:r>
        <w:t xml:space="preserve">of pain we are in.   The incorrigibility thesis is most plausible, and of most interest, when taking the relevant judgments to be about whether one is in </w:t>
      </w:r>
      <w:r w:rsidRPr="001B701A">
        <w:rPr>
          <w:i/>
        </w:rPr>
        <w:t>some</w:t>
      </w:r>
      <w:r>
        <w:t xml:space="preserve"> kind of pain or other, regardless of type (where the type could specify a certain </w:t>
      </w:r>
      <w:r w:rsidRPr="00DE77B1">
        <w:rPr>
          <w:i/>
        </w:rPr>
        <w:t>quality</w:t>
      </w:r>
      <w:r>
        <w:t xml:space="preserve"> or </w:t>
      </w:r>
      <w:r w:rsidRPr="00DE77B1">
        <w:rPr>
          <w:i/>
        </w:rPr>
        <w:t>location</w:t>
      </w:r>
      <w:r>
        <w:t xml:space="preserve"> of the pain, for instance).  I will therefore focus on </w:t>
      </w:r>
      <w:r w:rsidR="005B3A7B">
        <w:t xml:space="preserve">the “some kind or other” reading here.  </w:t>
      </w:r>
      <w:r>
        <w:t xml:space="preserve">It is worth considering, however, whether an ability to be wrong with respect to what type of pain we are having also entails or suggests an ability to be wrong about being in </w:t>
      </w:r>
      <w:r>
        <w:lastRenderedPageBreak/>
        <w:t xml:space="preserve">pain </w:t>
      </w:r>
      <w:r w:rsidRPr="001B701A">
        <w:rPr>
          <w:i/>
        </w:rPr>
        <w:t>tout court</w:t>
      </w:r>
      <w:r>
        <w:t xml:space="preserve">.  If we could mistake a throbbing pain for a </w:t>
      </w:r>
      <w:r w:rsidR="00507D3B">
        <w:t>burning</w:t>
      </w:r>
      <w:r>
        <w:t xml:space="preserve"> pain, for instance, it might seem we could </w:t>
      </w:r>
      <w:r w:rsidR="00507D3B">
        <w:t xml:space="preserve">also </w:t>
      </w:r>
      <w:r>
        <w:t>mistake an intense itch for a sharp pain.  The latter possibility would speak against our incorrigibility with respect to pain judgments.</w:t>
      </w:r>
    </w:p>
    <w:p w14:paraId="1DB71C1D" w14:textId="1FE690CB" w:rsidR="00973855" w:rsidRDefault="009E50F6">
      <w:r>
        <w:t>We should also keep in mind that even</w:t>
      </w:r>
      <w:r w:rsidR="001A5E87">
        <w:t xml:space="preserve"> if the incorrigibility thesis were true, it would </w:t>
      </w:r>
      <w:r w:rsidR="007D68D0">
        <w:t xml:space="preserve">not </w:t>
      </w:r>
      <w:r w:rsidR="00295439">
        <w:t>entail that we always know when</w:t>
      </w:r>
      <w:r w:rsidR="00FC52BF">
        <w:t xml:space="preserve"> we are in pain.  The incorrigibility thesis</w:t>
      </w:r>
      <w:r w:rsidR="00295439">
        <w:t xml:space="preserve"> is compatible with our having pains t</w:t>
      </w:r>
      <w:r>
        <w:t>hat we never form beliefs about</w:t>
      </w:r>
      <w:r w:rsidR="00295439">
        <w:t xml:space="preserve"> one way or the other.  </w:t>
      </w:r>
      <w:r w:rsidR="00DE49B1">
        <w:t xml:space="preserve">A </w:t>
      </w:r>
      <w:r w:rsidR="00295439">
        <w:t>different thesis</w:t>
      </w:r>
      <w:r w:rsidR="00DE49B1">
        <w:t xml:space="preserve"> </w:t>
      </w:r>
      <w:r w:rsidR="001A5E87">
        <w:t>hold</w:t>
      </w:r>
      <w:r w:rsidR="00DE49B1">
        <w:t>s</w:t>
      </w:r>
      <w:r w:rsidR="00295439">
        <w:t xml:space="preserve"> that </w:t>
      </w:r>
      <w:r w:rsidR="00295439">
        <w:rPr>
          <w:i/>
        </w:rPr>
        <w:t xml:space="preserve">if </w:t>
      </w:r>
      <w:r w:rsidR="00295439">
        <w:t xml:space="preserve">we are in pain, we necessarily know that we are.  To accept </w:t>
      </w:r>
      <w:r w:rsidR="001752C4">
        <w:t>this</w:t>
      </w:r>
      <w:r w:rsidR="00295439">
        <w:t xml:space="preserve"> </w:t>
      </w:r>
      <w:r w:rsidR="004606DE">
        <w:t>thesis</w:t>
      </w:r>
      <w:r w:rsidR="00295439">
        <w:t xml:space="preserve"> is to hold that pains are </w:t>
      </w:r>
      <w:r w:rsidR="00295439">
        <w:rPr>
          <w:i/>
        </w:rPr>
        <w:t>self-intimating</w:t>
      </w:r>
      <w:r w:rsidR="00507D3B">
        <w:t>.  U</w:t>
      </w:r>
      <w:r w:rsidR="00295439">
        <w:t xml:space="preserve">nlike the incorrigibility thesis, </w:t>
      </w:r>
      <w:r w:rsidR="00DC288A">
        <w:t xml:space="preserve">the self-intimating thesis is compatible with there </w:t>
      </w:r>
      <w:r w:rsidR="004606DE">
        <w:t>be</w:t>
      </w:r>
      <w:r w:rsidR="00DC288A">
        <w:t>ing</w:t>
      </w:r>
      <w:r w:rsidR="004606DE">
        <w:t xml:space="preserve"> </w:t>
      </w:r>
      <w:r w:rsidR="00295439">
        <w:t xml:space="preserve">false positives.  </w:t>
      </w:r>
    </w:p>
    <w:p w14:paraId="14BE56F6" w14:textId="297CCC9D" w:rsidR="00F655BD" w:rsidRDefault="00262E93" w:rsidP="00F655BD">
      <w:r>
        <w:t xml:space="preserve">In what follows I will </w:t>
      </w:r>
      <w:r w:rsidR="00F655BD">
        <w:t>maintain focus on the question of incorrigibility</w:t>
      </w:r>
      <w:r w:rsidR="00507D3B">
        <w:t>.  M</w:t>
      </w:r>
      <w:r w:rsidR="00F655BD">
        <w:t xml:space="preserve">ost of the </w:t>
      </w:r>
      <w:r w:rsidR="001752C4">
        <w:t xml:space="preserve">important </w:t>
      </w:r>
      <w:r w:rsidR="00F655BD">
        <w:t>points to be made with respect to the self-intimating thesis can be made in addressing the question of incorrigibility as well.</w:t>
      </w:r>
    </w:p>
    <w:p w14:paraId="33CA1BEE" w14:textId="59702293" w:rsidR="005D6C1C" w:rsidRPr="005D6C1C" w:rsidRDefault="005D6C1C" w:rsidP="00F655BD">
      <w:pPr>
        <w:rPr>
          <w:i/>
        </w:rPr>
      </w:pPr>
      <w:r>
        <w:rPr>
          <w:i/>
        </w:rPr>
        <w:t>Consciousness</w:t>
      </w:r>
    </w:p>
    <w:p w14:paraId="011B2EFC" w14:textId="0072F521" w:rsidR="008B0A92" w:rsidRDefault="00B8034B" w:rsidP="00F655BD">
      <w:r>
        <w:t>The relation</w:t>
      </w:r>
      <w:r w:rsidR="005B3A7B">
        <w:t>ship</w:t>
      </w:r>
      <w:r>
        <w:t xml:space="preserve"> of pain to consciousness is</w:t>
      </w:r>
      <w:r w:rsidR="00613367">
        <w:t xml:space="preserve"> a matter of controversy</w:t>
      </w:r>
      <w:r>
        <w:t>.  Of particular dispute is whether pains are alwa</w:t>
      </w:r>
      <w:r w:rsidR="00262E93">
        <w:t>ys conscious</w:t>
      </w:r>
      <w:r>
        <w:t xml:space="preserve"> or if, instead, they can occur non-consciously.  (</w:t>
      </w:r>
      <w:r w:rsidR="005B3A7B">
        <w:t>S</w:t>
      </w:r>
      <w:r>
        <w:t xml:space="preserve">ee Chapter 18 of this handbook).  </w:t>
      </w:r>
      <w:r w:rsidR="005B3A7B">
        <w:t>The question of</w:t>
      </w:r>
      <w:r w:rsidR="00C737EB">
        <w:t xml:space="preserve"> incorrigibility </w:t>
      </w:r>
      <w:r w:rsidR="005B3A7B">
        <w:t xml:space="preserve">is distinct from the question </w:t>
      </w:r>
      <w:r w:rsidR="00C737EB">
        <w:t xml:space="preserve">of whether </w:t>
      </w:r>
      <w:r w:rsidR="002D5DEC">
        <w:t xml:space="preserve">pains </w:t>
      </w:r>
      <w:r w:rsidR="00C737EB">
        <w:t xml:space="preserve">can occur </w:t>
      </w:r>
      <w:r w:rsidR="0053356A">
        <w:t>non-</w:t>
      </w:r>
      <w:r w:rsidR="00F655BD">
        <w:t>consciously.</w:t>
      </w:r>
      <w:r w:rsidR="00C737EB">
        <w:t xml:space="preserve"> </w:t>
      </w:r>
      <w:r w:rsidR="005D6C1C">
        <w:t xml:space="preserve"> </w:t>
      </w:r>
      <w:r w:rsidR="002868F6">
        <w:t>For</w:t>
      </w:r>
      <w:r>
        <w:t xml:space="preserve"> </w:t>
      </w:r>
      <w:r>
        <w:rPr>
          <w:i/>
        </w:rPr>
        <w:t>e</w:t>
      </w:r>
      <w:r w:rsidR="00613367" w:rsidRPr="00613367">
        <w:rPr>
          <w:i/>
        </w:rPr>
        <w:t>ven if</w:t>
      </w:r>
      <w:r w:rsidR="00EE27E3" w:rsidRPr="00EE27E3">
        <w:rPr>
          <w:i/>
        </w:rPr>
        <w:t xml:space="preserve"> </w:t>
      </w:r>
      <w:r w:rsidR="00EE27E3">
        <w:t xml:space="preserve">pains are </w:t>
      </w:r>
      <w:r w:rsidR="005B3A7B">
        <w:t>always</w:t>
      </w:r>
      <w:r w:rsidR="001752C4">
        <w:t xml:space="preserve"> </w:t>
      </w:r>
      <w:r w:rsidR="00EE27E3">
        <w:t>conscious, it need not follow</w:t>
      </w:r>
      <w:r w:rsidR="005D6C1C">
        <w:t xml:space="preserve"> </w:t>
      </w:r>
      <w:r w:rsidR="00EE27E3">
        <w:t>that our beliefs with respect to</w:t>
      </w:r>
      <w:r w:rsidR="00DE619E">
        <w:t xml:space="preserve"> our</w:t>
      </w:r>
      <w:r w:rsidR="00EE27E3">
        <w:t xml:space="preserve"> pains are incorrigible.  </w:t>
      </w:r>
      <w:r w:rsidR="00613367">
        <w:t>It might be that, in certain circumstances, we simply make false judgments about the contents of our conscious minds</w:t>
      </w:r>
      <w:r w:rsidR="00246A33">
        <w:t xml:space="preserve"> </w:t>
      </w:r>
      <w:r w:rsidR="00246A33">
        <w:fldChar w:fldCharType="begin"/>
      </w:r>
      <w:r w:rsidR="002A4269">
        <w:instrText xml:space="preserve"> ADDIN EN.CITE &lt;EndNote&gt;&lt;Cite&gt;&lt;Author&gt;Schwitzgebel&lt;/Author&gt;&lt;Year&gt;2008&lt;/Year&gt;&lt;RecNum&gt;531&lt;/RecNum&gt;&lt;DisplayText&gt;(Schwitzgebel, 2008)&lt;/DisplayText&gt;&lt;record&gt;&lt;rec-number&gt;531&lt;/rec-number&gt;&lt;foreign-keys&gt;&lt;key app="EN" db-id="v0vwpaxsertptmes2t5p2228rf5f520wfd5p"&gt;531&lt;/key&gt;&lt;/foreign-keys&gt;&lt;ref-type name="Journal Article"&gt;17&lt;/ref-type&gt;&lt;contributors&gt;&lt;authors&gt;&lt;author&gt;Schwitzgebel, E.&lt;/author&gt;&lt;/authors&gt;&lt;/contributors&gt;&lt;titles&gt;&lt;title&gt;The Unreliability of Naive Introspection&lt;/title&gt;&lt;secondary-title&gt;The Philosophical Review&lt;/secondary-title&gt;&lt;/titles&gt;&lt;periodical&gt;&lt;full-title&gt;The Philosophical Review&lt;/full-title&gt;&lt;/periodical&gt;&lt;pages&gt;245-273&lt;/pages&gt;&lt;volume&gt;117&lt;/volume&gt;&lt;number&gt;2&lt;/number&gt;&lt;dates&gt;&lt;year&gt;2008&lt;/year&gt;&lt;/dates&gt;&lt;urls&gt;&lt;/urls&gt;&lt;/record&gt;&lt;/Cite&gt;&lt;/EndNote&gt;</w:instrText>
      </w:r>
      <w:r w:rsidR="00246A33">
        <w:fldChar w:fldCharType="separate"/>
      </w:r>
      <w:r w:rsidR="00246A33">
        <w:rPr>
          <w:noProof/>
        </w:rPr>
        <w:t>(Schwitzgebel, 2008)</w:t>
      </w:r>
      <w:r w:rsidR="00246A33">
        <w:fldChar w:fldCharType="end"/>
      </w:r>
      <w:r w:rsidR="00613367">
        <w:t>.</w:t>
      </w:r>
      <w:r w:rsidR="008B0A92">
        <w:t xml:space="preserve">  </w:t>
      </w:r>
    </w:p>
    <w:p w14:paraId="651AC759" w14:textId="0E12B1FB" w:rsidR="006C42B1" w:rsidRDefault="00B8034B" w:rsidP="00F655BD">
      <w:r>
        <w:t>Nevertheless, we should expect interaction between views on the relation</w:t>
      </w:r>
      <w:r w:rsidR="005B3A7B">
        <w:t>ship</w:t>
      </w:r>
      <w:r>
        <w:t xml:space="preserve"> of consciousness to pain</w:t>
      </w:r>
      <w:r w:rsidR="00262E93">
        <w:t xml:space="preserve"> </w:t>
      </w:r>
      <w:r>
        <w:t xml:space="preserve">and </w:t>
      </w:r>
      <w:r w:rsidR="005B3A7B">
        <w:t xml:space="preserve">the </w:t>
      </w:r>
      <w:r>
        <w:t>incorrigibility thesis.</w:t>
      </w:r>
      <w:r w:rsidR="005B3A7B">
        <w:t xml:space="preserve">  V</w:t>
      </w:r>
      <w:r w:rsidR="00870C74">
        <w:t>iews on the relation</w:t>
      </w:r>
      <w:r w:rsidR="005B3A7B">
        <w:t>ship</w:t>
      </w:r>
      <w:r w:rsidR="00870C74">
        <w:t xml:space="preserve"> of i</w:t>
      </w:r>
      <w:r w:rsidR="00A576FB">
        <w:t>ntrospection</w:t>
      </w:r>
      <w:r w:rsidR="00870C74">
        <w:t xml:space="preserve"> to pain (discussed in Chapter 19) will </w:t>
      </w:r>
      <w:r w:rsidR="005B3A7B">
        <w:t xml:space="preserve">also </w:t>
      </w:r>
      <w:r w:rsidR="00870C74">
        <w:t xml:space="preserve">likely interact with views </w:t>
      </w:r>
      <w:r w:rsidR="00F3503C">
        <w:t>concerning</w:t>
      </w:r>
      <w:r w:rsidR="00870C74">
        <w:t xml:space="preserve"> incorrigibility. </w:t>
      </w:r>
      <w:r w:rsidR="00A576FB">
        <w:t xml:space="preserve"> </w:t>
      </w:r>
      <w:r w:rsidR="00870C74">
        <w:t>Because the relation</w:t>
      </w:r>
      <w:r w:rsidR="005B3A7B">
        <w:t xml:space="preserve">ships </w:t>
      </w:r>
      <w:r w:rsidR="00870C74">
        <w:t xml:space="preserve">of introspection and consciousness to pain are discussed </w:t>
      </w:r>
      <w:r w:rsidR="005B3A7B">
        <w:t>separately</w:t>
      </w:r>
      <w:r w:rsidR="00870C74">
        <w:t xml:space="preserve"> in this volume, I </w:t>
      </w:r>
      <w:r w:rsidR="00A576FB">
        <w:t>will set aside considerations relating specifically to consciousness and introspection for the remainder of this entry.</w:t>
      </w:r>
      <w:r w:rsidR="000D0AB6">
        <w:t xml:space="preserve">  </w:t>
      </w:r>
      <w:r w:rsidR="00870C74">
        <w:t xml:space="preserve">This </w:t>
      </w:r>
      <w:r w:rsidR="00262E93">
        <w:t>will</w:t>
      </w:r>
      <w:r w:rsidR="00507D3B">
        <w:t xml:space="preserve"> allow our </w:t>
      </w:r>
      <w:r w:rsidR="00AB7FE1">
        <w:t>conclusions concerning pain and</w:t>
      </w:r>
      <w:r w:rsidR="00870C74">
        <w:t xml:space="preserve"> incorrigibility </w:t>
      </w:r>
      <w:r w:rsidR="00507D3B">
        <w:t>to</w:t>
      </w:r>
      <w:r w:rsidR="00870C74">
        <w:t xml:space="preserve"> serve as independent data points in considerations concerning</w:t>
      </w:r>
      <w:r w:rsidR="00AB7FE1">
        <w:t xml:space="preserve"> </w:t>
      </w:r>
      <w:r w:rsidR="00DF3EEA">
        <w:t xml:space="preserve">the relationship of pain to </w:t>
      </w:r>
      <w:r w:rsidR="00AB7FE1">
        <w:t>consciousness and introspection.</w:t>
      </w:r>
    </w:p>
    <w:p w14:paraId="4F5E9313" w14:textId="77777777" w:rsidR="00F655BD" w:rsidRDefault="006C42B1" w:rsidP="00F655BD">
      <w:pPr>
        <w:rPr>
          <w:i/>
        </w:rPr>
      </w:pPr>
      <w:r>
        <w:rPr>
          <w:i/>
        </w:rPr>
        <w:t>Pains-as-sensations v</w:t>
      </w:r>
      <w:r w:rsidR="00CC66AC">
        <w:rPr>
          <w:i/>
        </w:rPr>
        <w:t>ersus</w:t>
      </w:r>
      <w:r>
        <w:rPr>
          <w:i/>
        </w:rPr>
        <w:t xml:space="preserve"> pains-as-tissue-damage</w:t>
      </w:r>
    </w:p>
    <w:p w14:paraId="7A3D0F66" w14:textId="0A63E59B" w:rsidR="00A80075" w:rsidRDefault="006C42B1" w:rsidP="00F655BD">
      <w:r>
        <w:tab/>
        <w:t>As elsewhere</w:t>
      </w:r>
      <w:r w:rsidR="009A0299">
        <w:t xml:space="preserve"> remarked</w:t>
      </w:r>
      <w:r>
        <w:t xml:space="preserve"> in this volume, there are at least two different </w:t>
      </w:r>
      <w:r w:rsidR="00F90DC6">
        <w:t>phenomena</w:t>
      </w:r>
      <w:r>
        <w:t xml:space="preserve"> </w:t>
      </w:r>
      <w:r w:rsidR="00CC66AC">
        <w:t>commonly</w:t>
      </w:r>
      <w:r>
        <w:t xml:space="preserve"> refer</w:t>
      </w:r>
      <w:r w:rsidR="00DE619E">
        <w:t>red</w:t>
      </w:r>
      <w:r>
        <w:t xml:space="preserve"> to in ordinary uses of the word ‘pain’</w:t>
      </w:r>
      <w:r w:rsidR="00870C74">
        <w:t xml:space="preserve"> (see, e.g., Chapter 5 of this volume)</w:t>
      </w:r>
      <w:r>
        <w:t>.  On the one hand,</w:t>
      </w:r>
      <w:r w:rsidR="00CC66AC">
        <w:t xml:space="preserve"> ‘pain’ can serve to refer to certain kinds of tissue damage</w:t>
      </w:r>
      <w:r w:rsidR="00507D3B">
        <w:t xml:space="preserve"> or nerve stimulation</w:t>
      </w:r>
      <w:r w:rsidR="002D5DEC">
        <w:t xml:space="preserve">.  </w:t>
      </w:r>
      <w:r w:rsidR="00CC66AC">
        <w:t xml:space="preserve"> </w:t>
      </w:r>
      <w:r w:rsidR="00F90DC6">
        <w:t xml:space="preserve">When I hit my thumb with a hammer, </w:t>
      </w:r>
      <w:r w:rsidR="001A5E87">
        <w:t>it seems true to say that there is literally a pain</w:t>
      </w:r>
      <w:r w:rsidR="00F90DC6">
        <w:t xml:space="preserve"> </w:t>
      </w:r>
      <w:r w:rsidR="00F90DC6" w:rsidRPr="002C5E00">
        <w:rPr>
          <w:i/>
        </w:rPr>
        <w:t>in my thumb</w:t>
      </w:r>
      <w:r w:rsidR="001A5E87">
        <w:t>.  This suggests that</w:t>
      </w:r>
      <w:r w:rsidR="00F90DC6">
        <w:t xml:space="preserve"> ‘pain’ refers to a certain kind of bodily trauma</w:t>
      </w:r>
      <w:r w:rsidR="00C00894">
        <w:t xml:space="preserve"> or </w:t>
      </w:r>
      <w:r w:rsidR="00F90DC6">
        <w:t xml:space="preserve">tissue </w:t>
      </w:r>
      <w:r w:rsidR="00C00894">
        <w:t>damage</w:t>
      </w:r>
      <w:r w:rsidR="001A5E87">
        <w:t xml:space="preserve"> present in my thumb</w:t>
      </w:r>
      <w:r w:rsidR="00F90DC6">
        <w:t xml:space="preserve">.  When the word ‘pain’ </w:t>
      </w:r>
      <w:r w:rsidR="002C5E00">
        <w:t xml:space="preserve">is used in this way, </w:t>
      </w:r>
      <w:r w:rsidR="00C00894">
        <w:t>we</w:t>
      </w:r>
      <w:r w:rsidR="00F90DC6">
        <w:t xml:space="preserve"> are speaking of </w:t>
      </w:r>
      <w:r w:rsidR="00F90DC6" w:rsidRPr="00C00894">
        <w:rPr>
          <w:i/>
        </w:rPr>
        <w:t>pain</w:t>
      </w:r>
      <w:r w:rsidR="00C00894" w:rsidRPr="00C00894">
        <w:rPr>
          <w:i/>
        </w:rPr>
        <w:t>s</w:t>
      </w:r>
      <w:r w:rsidR="00D1101E">
        <w:rPr>
          <w:i/>
        </w:rPr>
        <w:t>-as</w:t>
      </w:r>
      <w:r w:rsidR="00F90DC6" w:rsidRPr="00C00894">
        <w:rPr>
          <w:i/>
        </w:rPr>
        <w:t>-tissue-damage</w:t>
      </w:r>
      <w:r w:rsidR="00F3503C">
        <w:t>, or</w:t>
      </w:r>
      <w:r w:rsidR="00DF620D">
        <w:t xml:space="preserve"> what I will call </w:t>
      </w:r>
      <w:r w:rsidR="00DF620D" w:rsidRPr="00DF620D">
        <w:rPr>
          <w:i/>
        </w:rPr>
        <w:t>T-Pain</w:t>
      </w:r>
      <w:r w:rsidR="00F3503C">
        <w:rPr>
          <w:i/>
        </w:rPr>
        <w:t>s</w:t>
      </w:r>
      <w:r w:rsidR="00F90DC6">
        <w:t xml:space="preserve">.  </w:t>
      </w:r>
      <w:r w:rsidR="002D5DEC">
        <w:t xml:space="preserve">On the other hand, </w:t>
      </w:r>
      <w:r w:rsidR="00C00894">
        <w:t xml:space="preserve">when I put my injured thumb in a bucket of ice, </w:t>
      </w:r>
      <w:r w:rsidR="00F56BF0">
        <w:t>we are not inclined to say that there is a</w:t>
      </w:r>
      <w:r w:rsidR="00C00894">
        <w:t xml:space="preserve"> pain in the bucket (to </w:t>
      </w:r>
      <w:r w:rsidR="001A5E87">
        <w:t>paraphrase</w:t>
      </w:r>
      <w:r w:rsidR="00C00894">
        <w:t xml:space="preserve"> an old joke)</w:t>
      </w:r>
      <w:r w:rsidR="00F56BF0">
        <w:t>.</w:t>
      </w:r>
      <w:r w:rsidR="00C00894">
        <w:t xml:space="preserve">  This is because the word </w:t>
      </w:r>
      <w:r w:rsidR="002D5DEC">
        <w:t>‘pain’</w:t>
      </w:r>
      <w:r w:rsidR="00C00894">
        <w:t>, in a more fundamental use,</w:t>
      </w:r>
      <w:r w:rsidR="002D5DEC">
        <w:t xml:space="preserve"> </w:t>
      </w:r>
      <w:r w:rsidR="002C5E00">
        <w:t>also</w:t>
      </w:r>
      <w:r w:rsidR="002D5DEC">
        <w:t xml:space="preserve"> serve</w:t>
      </w:r>
      <w:r w:rsidR="00C00894">
        <w:t>s</w:t>
      </w:r>
      <w:r w:rsidR="002D5DEC">
        <w:t xml:space="preserve"> to refer to a certain kind of</w:t>
      </w:r>
      <w:r w:rsidR="002C5E00">
        <w:t xml:space="preserve"> unpleasant </w:t>
      </w:r>
      <w:r w:rsidR="00507D3B">
        <w:t>sensory experience</w:t>
      </w:r>
      <w:r w:rsidR="002C5E00">
        <w:t xml:space="preserve"> </w:t>
      </w:r>
      <w:r w:rsidR="00DE619E">
        <w:t xml:space="preserve">typically </w:t>
      </w:r>
      <w:r w:rsidR="00DE619E">
        <w:rPr>
          <w:i/>
        </w:rPr>
        <w:t>caused by</w:t>
      </w:r>
      <w:r w:rsidR="002C5E00">
        <w:t xml:space="preserve"> tissue damage</w:t>
      </w:r>
      <w:r w:rsidR="00507D3B">
        <w:t xml:space="preserve"> or nerve stimulation</w:t>
      </w:r>
      <w:r w:rsidR="002C5E00">
        <w:t xml:space="preserve">.  </w:t>
      </w:r>
      <w:r w:rsidR="004937EA">
        <w:t>S</w:t>
      </w:r>
      <w:r w:rsidR="00DE619E">
        <w:t xml:space="preserve">omething </w:t>
      </w:r>
      <w:r w:rsidR="006C2296">
        <w:t>can</w:t>
      </w:r>
      <w:r w:rsidR="00DE619E">
        <w:t xml:space="preserve"> only</w:t>
      </w:r>
      <w:r w:rsidR="006C2296">
        <w:t xml:space="preserve"> be</w:t>
      </w:r>
      <w:r w:rsidR="00DE619E">
        <w:t xml:space="preserve"> “in pain”</w:t>
      </w:r>
      <w:r w:rsidR="004937EA">
        <w:t xml:space="preserve"> in this sense</w:t>
      </w:r>
      <w:r w:rsidR="00DE619E">
        <w:t xml:space="preserve"> if it is having a </w:t>
      </w:r>
      <w:r w:rsidR="00507D3B">
        <w:t>sensory experience of the right kind</w:t>
      </w:r>
      <w:r w:rsidR="00F56BF0">
        <w:t>; and this is</w:t>
      </w:r>
      <w:r w:rsidR="006C2296">
        <w:t xml:space="preserve"> something buckets cannot do</w:t>
      </w:r>
      <w:r w:rsidR="00DE619E">
        <w:t xml:space="preserve">.  </w:t>
      </w:r>
      <w:r w:rsidR="002C5E00">
        <w:t xml:space="preserve">We can call these </w:t>
      </w:r>
      <w:r w:rsidR="002228F3">
        <w:rPr>
          <w:i/>
        </w:rPr>
        <w:t>pain</w:t>
      </w:r>
      <w:r w:rsidR="001206C5">
        <w:rPr>
          <w:i/>
        </w:rPr>
        <w:t xml:space="preserve"> </w:t>
      </w:r>
      <w:r w:rsidR="002C5E00" w:rsidRPr="00C00894">
        <w:rPr>
          <w:i/>
        </w:rPr>
        <w:t>sensations</w:t>
      </w:r>
      <w:r w:rsidR="00DF620D">
        <w:rPr>
          <w:i/>
        </w:rPr>
        <w:t xml:space="preserve">, </w:t>
      </w:r>
      <w:r w:rsidR="00DF620D">
        <w:t xml:space="preserve">or </w:t>
      </w:r>
      <w:r w:rsidR="00DF620D" w:rsidRPr="00DF620D">
        <w:rPr>
          <w:i/>
        </w:rPr>
        <w:t>S-Pains</w:t>
      </w:r>
      <w:r w:rsidR="00CB12F2">
        <w:t xml:space="preserve">.  </w:t>
      </w:r>
      <w:r w:rsidR="00AB7FE1">
        <w:t>Yet we should leave</w:t>
      </w:r>
      <w:r w:rsidR="00D1101E">
        <w:t xml:space="preserve"> open the possibility that S-pains have cognitive and affective components </w:t>
      </w:r>
      <w:r w:rsidR="00D1101E" w:rsidRPr="00AB7FE1">
        <w:rPr>
          <w:i/>
        </w:rPr>
        <w:t>in addition to</w:t>
      </w:r>
      <w:r w:rsidR="00D1101E">
        <w:t xml:space="preserve"> certain distinctive sensory features</w:t>
      </w:r>
      <w:r w:rsidR="00F3503C">
        <w:t xml:space="preserve"> (Hardcastle, </w:t>
      </w:r>
      <w:r w:rsidR="001D3F93">
        <w:t>1999</w:t>
      </w:r>
      <w:r w:rsidR="00F3503C">
        <w:t xml:space="preserve">; Corns, 2014; Part 1 of this volume).  </w:t>
      </w:r>
      <w:r w:rsidR="00507D3B">
        <w:t>Further, we should leave open, for the time being,</w:t>
      </w:r>
      <w:r w:rsidR="00F3503C">
        <w:t xml:space="preserve"> whether one or more of these components is </w:t>
      </w:r>
      <w:r w:rsidR="00F3503C" w:rsidRPr="00F3503C">
        <w:rPr>
          <w:i/>
        </w:rPr>
        <w:lastRenderedPageBreak/>
        <w:t>essential</w:t>
      </w:r>
      <w:r w:rsidR="00F3503C">
        <w:t xml:space="preserve"> to S-Pain</w:t>
      </w:r>
      <w:r w:rsidR="00B72E50">
        <w:t xml:space="preserve"> and </w:t>
      </w:r>
      <w:r w:rsidR="005B3A7B">
        <w:t xml:space="preserve">others only contingently associated with </w:t>
      </w:r>
      <w:r w:rsidR="00B72E50">
        <w:t>S-P</w:t>
      </w:r>
      <w:r w:rsidR="005B3A7B">
        <w:t>ain.  (This</w:t>
      </w:r>
      <w:r w:rsidR="00507D3B">
        <w:t xml:space="preserve"> question becomes central later).  </w:t>
      </w:r>
      <w:r w:rsidR="002C5E00">
        <w:t xml:space="preserve">Cases of phantom-limb pain—where </w:t>
      </w:r>
      <w:r w:rsidR="00A80075">
        <w:t xml:space="preserve">an amputee </w:t>
      </w:r>
      <w:r w:rsidR="002C5E00">
        <w:t>feel</w:t>
      </w:r>
      <w:r w:rsidR="006C2296">
        <w:t>s</w:t>
      </w:r>
      <w:r w:rsidR="002C5E00">
        <w:t xml:space="preserve"> pain in a limb no longer possessed—make vivid the distinction between the two senses of ‘pain’.  The person suffering phantom limb pains has very real </w:t>
      </w:r>
      <w:r w:rsidR="00DF620D">
        <w:t>S-Pains</w:t>
      </w:r>
      <w:r w:rsidR="002C5E00">
        <w:t xml:space="preserve">, without the normal </w:t>
      </w:r>
      <w:r w:rsidR="00DF620D">
        <w:t>T-Pains</w:t>
      </w:r>
      <w:r w:rsidR="002C5E00">
        <w:t xml:space="preserve"> that typically cause</w:t>
      </w:r>
      <w:r w:rsidR="00507D3B">
        <w:t xml:space="preserve"> or accompany</w:t>
      </w:r>
      <w:r w:rsidR="002C5E00">
        <w:t xml:space="preserve"> them.  </w:t>
      </w:r>
      <w:r w:rsidR="00C00894">
        <w:t xml:space="preserve">In such cases, </w:t>
      </w:r>
      <w:r w:rsidR="00A80075">
        <w:t>a</w:t>
      </w:r>
      <w:r w:rsidR="00DF620D">
        <w:t>n</w:t>
      </w:r>
      <w:r w:rsidR="00A80075">
        <w:t xml:space="preserve"> </w:t>
      </w:r>
      <w:r w:rsidR="00DF620D">
        <w:t xml:space="preserve">S-Pain </w:t>
      </w:r>
      <w:r w:rsidR="00A80075">
        <w:t>se</w:t>
      </w:r>
      <w:r w:rsidR="00AF65A4">
        <w:t>ems to indicate or represent</w:t>
      </w:r>
      <w:r w:rsidR="00A80075">
        <w:t xml:space="preserve"> the presence of a </w:t>
      </w:r>
      <w:r w:rsidR="00DF620D">
        <w:t>T-Pain</w:t>
      </w:r>
      <w:r w:rsidR="00A80075">
        <w:t xml:space="preserve"> in </w:t>
      </w:r>
      <w:r w:rsidR="006C2296">
        <w:t>one’s limb</w:t>
      </w:r>
      <w:r w:rsidR="00A80075">
        <w:t xml:space="preserve">, even </w:t>
      </w:r>
      <w:r w:rsidR="00AF65A4">
        <w:t xml:space="preserve">though </w:t>
      </w:r>
      <w:r w:rsidR="00A80075">
        <w:t xml:space="preserve">one no longer has </w:t>
      </w:r>
      <w:r w:rsidR="006C2296">
        <w:t>the limb</w:t>
      </w:r>
      <w:r w:rsidR="007148FA">
        <w:t xml:space="preserve"> (or the relevant T-Pain)</w:t>
      </w:r>
      <w:r w:rsidR="006C2296">
        <w:t>.</w:t>
      </w:r>
      <w:r w:rsidR="00DF620D">
        <w:t xml:space="preserve">  </w:t>
      </w:r>
      <w:r w:rsidR="00507D3B">
        <w:t xml:space="preserve">A common view is that </w:t>
      </w:r>
      <w:r w:rsidR="002C3DAE">
        <w:t xml:space="preserve">S-pains </w:t>
      </w:r>
      <w:r w:rsidR="00507D3B">
        <w:t>are</w:t>
      </w:r>
      <w:r w:rsidR="00CB12F2">
        <w:t xml:space="preserve"> </w:t>
      </w:r>
      <w:r w:rsidR="002C3DAE">
        <w:t>representations of T-pains</w:t>
      </w:r>
      <w:r w:rsidR="00213AF3">
        <w:t xml:space="preserve"> (see Chapter 2 of this volume); S-</w:t>
      </w:r>
      <w:r w:rsidR="0012445D">
        <w:t>P</w:t>
      </w:r>
      <w:r w:rsidR="00213AF3">
        <w:t xml:space="preserve">ains </w:t>
      </w:r>
      <w:r w:rsidR="0012445D">
        <w:t>indicate</w:t>
      </w:r>
      <w:r w:rsidR="00213AF3">
        <w:t xml:space="preserve"> the presence of</w:t>
      </w:r>
      <w:r w:rsidR="002C3DAE">
        <w:t xml:space="preserve"> T-pains</w:t>
      </w:r>
      <w:r w:rsidR="00213AF3">
        <w:t xml:space="preserve"> in specific bodily location</w:t>
      </w:r>
      <w:r w:rsidR="0012445D">
        <w:t>s</w:t>
      </w:r>
      <w:r w:rsidR="00B72E50">
        <w:t>, though are perhaps not exhausted by this representational role</w:t>
      </w:r>
      <w:r w:rsidR="002C3DAE">
        <w:t>.</w:t>
      </w:r>
      <w:r w:rsidR="00853765">
        <w:rPr>
          <w:rStyle w:val="FootnoteReference"/>
        </w:rPr>
        <w:footnoteReference w:id="1"/>
      </w:r>
      <w:r w:rsidR="002C3DAE">
        <w:t xml:space="preserve">  </w:t>
      </w:r>
    </w:p>
    <w:p w14:paraId="1384B18C" w14:textId="06879B22" w:rsidR="00D364CB" w:rsidRDefault="00A80075" w:rsidP="00F655BD">
      <w:r>
        <w:tab/>
        <w:t xml:space="preserve">The most interesting questions with respect to pain and </w:t>
      </w:r>
      <w:r w:rsidR="00B20854">
        <w:t>incorrigibility concern</w:t>
      </w:r>
      <w:r>
        <w:t xml:space="preserve"> </w:t>
      </w:r>
      <w:r w:rsidR="00DF620D">
        <w:t>S-Pains</w:t>
      </w:r>
      <w:r>
        <w:t>.</w:t>
      </w:r>
      <w:r w:rsidR="00B20854">
        <w:t xml:space="preserve">  </w:t>
      </w:r>
      <w:r w:rsidR="009A0299">
        <w:t>For it</w:t>
      </w:r>
      <w:r w:rsidR="00B20854">
        <w:t xml:space="preserve"> is not hard to see how</w:t>
      </w:r>
      <w:r w:rsidR="009A0299">
        <w:t xml:space="preserve"> there might be </w:t>
      </w:r>
      <w:r w:rsidR="00B20854">
        <w:t>false positive</w:t>
      </w:r>
      <w:r w:rsidR="009A0299">
        <w:t>s and false negatives</w:t>
      </w:r>
      <w:r w:rsidR="00B20854">
        <w:t xml:space="preserve"> with respect to </w:t>
      </w:r>
      <w:r w:rsidR="00DF620D">
        <w:t>T-Pains</w:t>
      </w:r>
      <w:r w:rsidR="00B20854">
        <w:t xml:space="preserve">.  </w:t>
      </w:r>
      <w:r w:rsidR="00C27D07">
        <w:rPr>
          <w:i/>
        </w:rPr>
        <w:t>R</w:t>
      </w:r>
      <w:r w:rsidR="00B20854" w:rsidRPr="00B20854">
        <w:rPr>
          <w:i/>
        </w:rPr>
        <w:t>eferred pains</w:t>
      </w:r>
      <w:r w:rsidR="00C27D07">
        <w:t>, for instance,</w:t>
      </w:r>
      <w:r w:rsidR="00B20854">
        <w:rPr>
          <w:i/>
        </w:rPr>
        <w:t xml:space="preserve"> </w:t>
      </w:r>
      <w:r w:rsidR="006C2296">
        <w:t>occur</w:t>
      </w:r>
      <w:r w:rsidR="00021150">
        <w:t xml:space="preserve"> </w:t>
      </w:r>
      <w:r w:rsidR="006C2296">
        <w:t>when</w:t>
      </w:r>
      <w:r w:rsidR="00021150">
        <w:t xml:space="preserve"> a person reports</w:t>
      </w:r>
      <w:r w:rsidR="00B20854">
        <w:t xml:space="preserve"> pain </w:t>
      </w:r>
      <w:r w:rsidR="00021150">
        <w:t>at</w:t>
      </w:r>
      <w:r w:rsidR="00B20854">
        <w:t xml:space="preserve"> a location </w:t>
      </w:r>
      <w:r w:rsidR="00021150">
        <w:t>other than where the tissue damage or trauma responsible for the pain has occurred</w:t>
      </w:r>
      <w:r w:rsidR="006C2296">
        <w:t xml:space="preserve">.  </w:t>
      </w:r>
      <w:r w:rsidR="00021150">
        <w:t xml:space="preserve">Such reports can be seen as evidence that one falsely believes oneself to have a certain kind of </w:t>
      </w:r>
      <w:r w:rsidR="00DF620D">
        <w:t>T-Pain</w:t>
      </w:r>
      <w:r w:rsidR="009A0299">
        <w:t>—</w:t>
      </w:r>
      <w:r w:rsidR="00B72E50">
        <w:t>they are</w:t>
      </w:r>
      <w:r w:rsidR="009A0299">
        <w:t xml:space="preserve"> false positive</w:t>
      </w:r>
      <w:r w:rsidR="00B72E50">
        <w:t>s</w:t>
      </w:r>
      <w:r w:rsidR="000C532F">
        <w:t xml:space="preserve"> with respect to </w:t>
      </w:r>
      <w:r w:rsidR="00DF620D">
        <w:t>T-Pains</w:t>
      </w:r>
      <w:r w:rsidR="00021150">
        <w:t xml:space="preserve">.  </w:t>
      </w:r>
      <w:r w:rsidR="00D364CB">
        <w:t xml:space="preserve">And phantom limb pains suggest the possibility of believing oneself to have a </w:t>
      </w:r>
      <w:r w:rsidR="00DF620D">
        <w:t>T-Pain</w:t>
      </w:r>
      <w:r w:rsidR="00D364CB">
        <w:t xml:space="preserve"> in the absence of any relevant</w:t>
      </w:r>
      <w:r w:rsidR="00C27D07">
        <w:t xml:space="preserve"> </w:t>
      </w:r>
      <w:r w:rsidR="00573E07">
        <w:t xml:space="preserve">tissue </w:t>
      </w:r>
      <w:r w:rsidR="00D364CB">
        <w:t xml:space="preserve">damage at all.  By the same token, if a certain type of tissue damage </w:t>
      </w:r>
      <w:r w:rsidR="00573E07">
        <w:t xml:space="preserve">or nerve stimulation </w:t>
      </w:r>
      <w:r w:rsidR="00D364CB">
        <w:t xml:space="preserve">in a localized area is considered sufficient for a </w:t>
      </w:r>
      <w:r w:rsidR="00DF620D">
        <w:t>T-Pain</w:t>
      </w:r>
      <w:r w:rsidR="00D364CB">
        <w:t xml:space="preserve">, then it is easy to imagine false negatives for </w:t>
      </w:r>
      <w:r w:rsidR="00DF620D">
        <w:t>T-Pains</w:t>
      </w:r>
      <w:r w:rsidR="00D364CB">
        <w:t>, such as when a local anesthetic prevents one from noticing a surgical incision.</w:t>
      </w:r>
      <w:r w:rsidR="000E6147">
        <w:rPr>
          <w:rStyle w:val="FootnoteReference"/>
        </w:rPr>
        <w:footnoteReference w:id="2"/>
      </w:r>
      <w:r w:rsidR="00D364CB">
        <w:t xml:space="preserve">  For these reasons, I will </w:t>
      </w:r>
      <w:r w:rsidR="00C27D07">
        <w:t xml:space="preserve">focus on </w:t>
      </w:r>
      <w:r w:rsidR="00DF620D">
        <w:t xml:space="preserve">S-Pains </w:t>
      </w:r>
      <w:r w:rsidR="00C27D07">
        <w:t>going forward</w:t>
      </w:r>
      <w:r w:rsidR="009A0299">
        <w:t xml:space="preserve">, </w:t>
      </w:r>
      <w:r w:rsidR="000C532F">
        <w:t xml:space="preserve">using </w:t>
      </w:r>
      <w:r w:rsidR="00C27D07">
        <w:t xml:space="preserve">‘pain’ </w:t>
      </w:r>
      <w:r w:rsidR="00AF65A4">
        <w:t xml:space="preserve">exclusively </w:t>
      </w:r>
      <w:r w:rsidR="000C532F">
        <w:t>to</w:t>
      </w:r>
      <w:r w:rsidR="009A0299">
        <w:t xml:space="preserve"> refer to </w:t>
      </w:r>
      <w:r w:rsidR="00DF620D">
        <w:t>S-Pains</w:t>
      </w:r>
      <w:r w:rsidR="009A0299">
        <w:t xml:space="preserve"> unless otherwise noted.</w:t>
      </w:r>
    </w:p>
    <w:p w14:paraId="649BF424" w14:textId="4F2E1D6F" w:rsidR="00C27D07" w:rsidRPr="009A0299" w:rsidRDefault="00624FA3" w:rsidP="00F655BD">
      <w:pPr>
        <w:rPr>
          <w:i/>
        </w:rPr>
      </w:pPr>
      <w:r>
        <w:rPr>
          <w:i/>
        </w:rPr>
        <w:t>An argument from the appearance/reality distinction</w:t>
      </w:r>
    </w:p>
    <w:p w14:paraId="4DF1F054" w14:textId="5D4D9D2A" w:rsidR="009A0299" w:rsidRDefault="009A0299" w:rsidP="00F655BD">
      <w:r>
        <w:t>Here is a quick argument for the impossibility of false positives</w:t>
      </w:r>
      <w:r w:rsidR="009D4D3A">
        <w:t xml:space="preserve"> for </w:t>
      </w:r>
      <w:r w:rsidR="001206C5">
        <w:t>one’s own pains</w:t>
      </w:r>
      <w:r w:rsidR="00573E07">
        <w:t xml:space="preserve">.  </w:t>
      </w:r>
      <w:r w:rsidR="00F3503C">
        <w:t>A corresponding argument can be run against the possibility of false negatives, by inserting ‘not’</w:t>
      </w:r>
      <w:r w:rsidR="00573E07">
        <w:t xml:space="preserve"> before each instance of ‘pain’</w:t>
      </w:r>
      <w:r w:rsidR="00541BEC">
        <w:t xml:space="preserve">: </w:t>
      </w:r>
    </w:p>
    <w:p w14:paraId="559DABE5" w14:textId="77777777" w:rsidR="009D4D3A" w:rsidRDefault="009D4D3A" w:rsidP="009D4D3A">
      <w:pPr>
        <w:ind w:firstLine="360"/>
      </w:pPr>
      <w:r>
        <w:t xml:space="preserve">Premise 1: </w:t>
      </w:r>
      <w:r w:rsidR="00DE08C9">
        <w:t xml:space="preserve">If you believe </w:t>
      </w:r>
      <w:r>
        <w:t xml:space="preserve">that </w:t>
      </w:r>
      <w:r w:rsidR="00DE08C9">
        <w:t xml:space="preserve">you are in pain, then it </w:t>
      </w:r>
      <w:r w:rsidR="001725A0">
        <w:t>appears</w:t>
      </w:r>
      <w:r w:rsidR="00DE08C9">
        <w:t xml:space="preserve"> to you that you are in pain.  </w:t>
      </w:r>
    </w:p>
    <w:p w14:paraId="1CD840D1" w14:textId="77777777" w:rsidR="009D4D3A" w:rsidRDefault="009D4D3A" w:rsidP="009D4D3A">
      <w:pPr>
        <w:ind w:firstLine="360"/>
      </w:pPr>
      <w:r>
        <w:t xml:space="preserve">Premise 2: </w:t>
      </w:r>
      <w:r w:rsidR="009A0299">
        <w:t xml:space="preserve">If </w:t>
      </w:r>
      <w:r w:rsidR="00DE08C9">
        <w:t xml:space="preserve">it </w:t>
      </w:r>
      <w:r w:rsidR="001725A0">
        <w:t>appears</w:t>
      </w:r>
      <w:r w:rsidR="00DE08C9">
        <w:t xml:space="preserve"> to you that you are</w:t>
      </w:r>
      <w:r w:rsidR="009A0299">
        <w:t xml:space="preserve"> in pain, then you </w:t>
      </w:r>
      <w:r w:rsidR="009A0299" w:rsidRPr="009D4D3A">
        <w:rPr>
          <w:i/>
        </w:rPr>
        <w:t>just are</w:t>
      </w:r>
      <w:r w:rsidR="009A0299">
        <w:t xml:space="preserve"> in pain.  </w:t>
      </w:r>
    </w:p>
    <w:p w14:paraId="2F3B567D" w14:textId="77777777" w:rsidR="00DE08C9" w:rsidRDefault="009D4D3A" w:rsidP="009D4D3A">
      <w:pPr>
        <w:ind w:firstLine="360"/>
      </w:pPr>
      <w:r>
        <w:t xml:space="preserve">Conclusion:  </w:t>
      </w:r>
      <w:r w:rsidR="00DE08C9">
        <w:t xml:space="preserve">Therefore, if you believe </w:t>
      </w:r>
      <w:r>
        <w:t xml:space="preserve">that </w:t>
      </w:r>
      <w:r w:rsidR="00DE08C9">
        <w:t xml:space="preserve">you are in pain, then you </w:t>
      </w:r>
      <w:r w:rsidR="00DE08C9" w:rsidRPr="009D4D3A">
        <w:rPr>
          <w:i/>
        </w:rPr>
        <w:t>just are</w:t>
      </w:r>
      <w:r w:rsidR="00DE08C9">
        <w:t xml:space="preserve"> in pain. </w:t>
      </w:r>
    </w:p>
    <w:p w14:paraId="1271B49B" w14:textId="157A94BB" w:rsidR="002B5923" w:rsidRPr="0032198E" w:rsidRDefault="00DE08C9" w:rsidP="00F655BD">
      <w:r>
        <w:t xml:space="preserve">The argument </w:t>
      </w:r>
      <w:r w:rsidR="00541BEC">
        <w:t xml:space="preserve">form </w:t>
      </w:r>
      <w:r w:rsidR="000E5998">
        <w:t>is</w:t>
      </w:r>
      <w:r>
        <w:t xml:space="preserve"> valid</w:t>
      </w:r>
      <w:r w:rsidR="009D4D3A">
        <w:t xml:space="preserve">.  </w:t>
      </w:r>
      <w:r w:rsidR="00B1723B">
        <w:t xml:space="preserve">If </w:t>
      </w:r>
      <w:r>
        <w:t xml:space="preserve">we accept the premises, we must accept the conclusion.  Taking the premises in reverse order, why would someone accept premise two?  It is sometimes remarked that, in the case of pain, there is no appearance/reality distinction.  Hiking through the desert, I might seem to see an oasis...but no, it is only a mirage.  </w:t>
      </w:r>
      <w:r w:rsidR="00FD04BD">
        <w:t>The appearance is one thing, the reality another.  But c</w:t>
      </w:r>
      <w:r>
        <w:t>ould I, si</w:t>
      </w:r>
      <w:r w:rsidR="001206C5">
        <w:t>milarly, seem to have a pain</w:t>
      </w:r>
      <w:r w:rsidR="00BB6635">
        <w:t>, yet it only be a pain-mirage—</w:t>
      </w:r>
      <w:r>
        <w:t xml:space="preserve">the mere appearance of a pain?  </w:t>
      </w:r>
      <w:r w:rsidRPr="000E5998">
        <w:t>No</w:t>
      </w:r>
      <w:r>
        <w:t>, one might say,</w:t>
      </w:r>
      <w:r w:rsidR="002B5923">
        <w:t xml:space="preserve"> for</w:t>
      </w:r>
      <w:r w:rsidR="005D1CD1">
        <w:t xml:space="preserve"> to</w:t>
      </w:r>
      <w:r w:rsidR="001206C5">
        <w:t xml:space="preserve"> have a pain </w:t>
      </w:r>
      <w:r w:rsidRPr="002B5923">
        <w:rPr>
          <w:i/>
        </w:rPr>
        <w:t xml:space="preserve">just </w:t>
      </w:r>
      <w:r w:rsidR="001725A0" w:rsidRPr="002B5923">
        <w:rPr>
          <w:i/>
        </w:rPr>
        <w:t>is</w:t>
      </w:r>
      <w:r w:rsidR="00132836">
        <w:t xml:space="preserve"> for it</w:t>
      </w:r>
      <w:r w:rsidR="001725A0">
        <w:t xml:space="preserve"> to appear </w:t>
      </w:r>
      <w:r w:rsidR="00132836">
        <w:t xml:space="preserve">that one is </w:t>
      </w:r>
      <w:r w:rsidR="001725A0">
        <w:t>in pain</w:t>
      </w:r>
      <w:r w:rsidR="002B5923">
        <w:t>.  T</w:t>
      </w:r>
      <w:r w:rsidR="001725A0">
        <w:t>here is</w:t>
      </w:r>
      <w:r w:rsidR="002B5923">
        <w:t xml:space="preserve">, one might </w:t>
      </w:r>
      <w:r w:rsidR="00BB6635">
        <w:t>insist</w:t>
      </w:r>
      <w:r w:rsidR="002B5923">
        <w:t>,</w:t>
      </w:r>
      <w:r w:rsidR="001725A0">
        <w:t xml:space="preserve"> no distinction between the appe</w:t>
      </w:r>
      <w:r w:rsidR="002B5923">
        <w:t>arance and</w:t>
      </w:r>
      <w:r w:rsidR="00BB6635">
        <w:t xml:space="preserve"> the</w:t>
      </w:r>
      <w:r w:rsidR="002B5923">
        <w:t xml:space="preserve"> reality in this case, precisely because </w:t>
      </w:r>
      <w:r w:rsidR="00BB6635">
        <w:t>a</w:t>
      </w:r>
      <w:r w:rsidR="001206C5">
        <w:t xml:space="preserve"> pain </w:t>
      </w:r>
      <w:r w:rsidR="002B5923">
        <w:rPr>
          <w:i/>
        </w:rPr>
        <w:t xml:space="preserve">just is </w:t>
      </w:r>
      <w:r w:rsidR="002B5923">
        <w:t>the appearance of pain</w:t>
      </w:r>
      <w:r w:rsidR="00B93A07">
        <w:t xml:space="preserve"> </w:t>
      </w:r>
      <w:r w:rsidR="00B93A07">
        <w:fldChar w:fldCharType="begin"/>
      </w:r>
      <w:r w:rsidR="0058186D">
        <w:instrText xml:space="preserve"> ADDIN EN.CITE &lt;EndNote&gt;&lt;Cite&gt;&lt;Author&gt;Searle&lt;/Author&gt;&lt;Year&gt;1992&lt;/Year&gt;&lt;RecNum&gt;10&lt;/RecNum&gt;&lt;Prefix&gt;Cf. &lt;/Prefix&gt;&lt;Suffix&gt;`; see also Chapter 19 of this volume&lt;/Suffix&gt;&lt;Pages&gt;122&lt;/Pages&gt;&lt;DisplayText&gt;(Cf. Searle, 1992, p. 122; see also Chapter 19 of this volume)&lt;/DisplayText&gt;&lt;record&gt;&lt;rec-number&gt;10&lt;/rec-number&gt;&lt;foreign-keys&gt;&lt;key app="EN" db-id="2tx220waur0024e2a9tvwtxhxx5exp9fr52f" timestamp="1444686263"&gt;10&lt;/key&gt;&lt;/foreign-keys&gt;&lt;ref-type name="Book"&gt;6&lt;/ref-type&gt;&lt;contributors&gt;&lt;authors&gt;&lt;author&gt;Searle, J.&lt;/author&gt;&lt;/authors&gt;&lt;/contributors&gt;&lt;titles&gt;&lt;title&gt;The Rediscovery of Mind&lt;/title&gt;&lt;/titles&gt;&lt;dates&gt;&lt;year&gt;1992&lt;/year&gt;&lt;/dates&gt;&lt;pub-location&gt;Cambridge, MA&lt;/pub-location&gt;&lt;publisher&gt;MIT Press&lt;/publisher&gt;&lt;urls&gt;&lt;/urls&gt;&lt;/record&gt;&lt;/Cite&gt;&lt;/EndNote&gt;</w:instrText>
      </w:r>
      <w:r w:rsidR="00B93A07">
        <w:fldChar w:fldCharType="separate"/>
      </w:r>
      <w:r w:rsidR="00D355DD">
        <w:rPr>
          <w:noProof/>
        </w:rPr>
        <w:t>(Cf. Searle, 1992, p. 122; see also Chapter 19 of this volume)</w:t>
      </w:r>
      <w:r w:rsidR="00B93A07">
        <w:fldChar w:fldCharType="end"/>
      </w:r>
      <w:r w:rsidR="002B5923">
        <w:t>.</w:t>
      </w:r>
      <w:r w:rsidR="005D1CD1">
        <w:t xml:space="preserve"> </w:t>
      </w:r>
    </w:p>
    <w:p w14:paraId="2F2A64D1" w14:textId="1B5723AC" w:rsidR="009E4576" w:rsidRDefault="005D1CD1" w:rsidP="00F655BD">
      <w:r>
        <w:lastRenderedPageBreak/>
        <w:t>However,</w:t>
      </w:r>
      <w:r w:rsidR="00BB6635">
        <w:t xml:space="preserve"> the </w:t>
      </w:r>
      <w:r>
        <w:t>plausibility of</w:t>
      </w:r>
      <w:r w:rsidR="002B5923">
        <w:t xml:space="preserve"> premise </w:t>
      </w:r>
      <w:r w:rsidR="00D355DD">
        <w:t xml:space="preserve">two </w:t>
      </w:r>
      <w:r w:rsidR="001206C5">
        <w:t xml:space="preserve">is </w:t>
      </w:r>
      <w:r w:rsidR="00D355DD">
        <w:t xml:space="preserve">due in part </w:t>
      </w:r>
      <w:r w:rsidR="00BB6635">
        <w:t xml:space="preserve">to an equivocation on the </w:t>
      </w:r>
      <w:r>
        <w:t>meaning</w:t>
      </w:r>
      <w:r w:rsidR="00BB6635">
        <w:t xml:space="preserve"> of ‘pain’.  </w:t>
      </w:r>
      <w:r w:rsidR="00663AA4">
        <w:t xml:space="preserve">It is common to allow for the possibility of perceptual experiences in the absence of the things </w:t>
      </w:r>
      <w:r w:rsidR="009E4576">
        <w:t xml:space="preserve">they represent, </w:t>
      </w:r>
      <w:r w:rsidR="00663AA4">
        <w:t>as in hallucinations and illusions.  If the perce</w:t>
      </w:r>
      <w:r w:rsidR="009E4576">
        <w:t xml:space="preserve">ptual experience of an apple can be considered </w:t>
      </w:r>
      <w:r w:rsidR="00B93A07">
        <w:t>“</w:t>
      </w:r>
      <w:r w:rsidR="009E4576">
        <w:t xml:space="preserve">the </w:t>
      </w:r>
      <w:r w:rsidR="00663AA4">
        <w:t xml:space="preserve">appearance” of an apple, then </w:t>
      </w:r>
      <w:r w:rsidR="009E4576">
        <w:t>it is easy to see how such</w:t>
      </w:r>
      <w:r w:rsidR="00663AA4">
        <w:t xml:space="preserve"> </w:t>
      </w:r>
      <w:r w:rsidR="000741F0">
        <w:t xml:space="preserve">an </w:t>
      </w:r>
      <w:r w:rsidR="00663AA4">
        <w:t>appearan</w:t>
      </w:r>
      <w:r w:rsidR="000741F0">
        <w:t>ce</w:t>
      </w:r>
      <w:r w:rsidR="00663AA4">
        <w:t xml:space="preserve"> can obtain in the absence </w:t>
      </w:r>
      <w:r w:rsidR="0032198E">
        <w:t>the reality</w:t>
      </w:r>
      <w:r w:rsidR="009E4576">
        <w:t xml:space="preserve"> </w:t>
      </w:r>
      <w:r w:rsidR="000741F0">
        <w:t>it</w:t>
      </w:r>
      <w:r w:rsidR="009E4576">
        <w:t xml:space="preserve"> aim</w:t>
      </w:r>
      <w:r w:rsidR="000741F0">
        <w:t>s</w:t>
      </w:r>
      <w:r w:rsidR="009E4576">
        <w:t xml:space="preserve"> to represent</w:t>
      </w:r>
      <w:r w:rsidR="00663AA4">
        <w:t xml:space="preserve">.  Supposing </w:t>
      </w:r>
      <w:r w:rsidR="00B93A07">
        <w:t xml:space="preserve">that </w:t>
      </w:r>
      <w:r w:rsidR="00F3503C">
        <w:t>S-pains</w:t>
      </w:r>
      <w:r w:rsidR="00663AA4">
        <w:t xml:space="preserve"> also</w:t>
      </w:r>
      <w:r w:rsidR="00B93A07">
        <w:t xml:space="preserve"> offer</w:t>
      </w:r>
      <w:r w:rsidR="00663AA4">
        <w:t xml:space="preserve"> perceptual appearances, what are they appearances </w:t>
      </w:r>
      <w:r w:rsidR="00663AA4" w:rsidRPr="000741F0">
        <w:rPr>
          <w:i/>
        </w:rPr>
        <w:t>of</w:t>
      </w:r>
      <w:r w:rsidR="00663AA4">
        <w:t xml:space="preserve">?  </w:t>
      </w:r>
      <w:r w:rsidR="000741F0">
        <w:t>A</w:t>
      </w:r>
      <w:r w:rsidR="009E4576">
        <w:t xml:space="preserve"> reasonable answer is that they are appearances of pains-as-tissue-damage</w:t>
      </w:r>
      <w:r w:rsidR="00F3503C">
        <w:t xml:space="preserve"> (</w:t>
      </w:r>
      <w:r w:rsidR="00573E07">
        <w:t xml:space="preserve">i.e., </w:t>
      </w:r>
      <w:r w:rsidR="00F3503C">
        <w:t>T-Pains)</w:t>
      </w:r>
      <w:r w:rsidR="009E4576">
        <w:t>.  Presumably, the amputee suffering phantom pains</w:t>
      </w:r>
      <w:r w:rsidR="00663AA4">
        <w:t xml:space="preserve"> appears to have a pain-as-tissue-damage in his right foot, in virtue of having a certain type of pain-as-sensa</w:t>
      </w:r>
      <w:r w:rsidR="009E4576">
        <w:t>tion</w:t>
      </w:r>
      <w:r w:rsidR="00663AA4">
        <w:t xml:space="preserve">.  </w:t>
      </w:r>
      <w:r w:rsidR="009E4576">
        <w:t xml:space="preserve">However, this would suggest that there </w:t>
      </w:r>
      <w:r w:rsidR="009E4576">
        <w:rPr>
          <w:i/>
        </w:rPr>
        <w:t xml:space="preserve">is </w:t>
      </w:r>
      <w:r w:rsidR="009E4576">
        <w:t>an appearance/reality distinction with respect to pain</w:t>
      </w:r>
      <w:r w:rsidR="000741F0">
        <w:t xml:space="preserve"> after all</w:t>
      </w:r>
      <w:r w:rsidR="009E4576">
        <w:t xml:space="preserve">:  </w:t>
      </w:r>
      <w:r w:rsidR="00E0599C">
        <w:t>S-Pains</w:t>
      </w:r>
      <w:r w:rsidR="009E4576">
        <w:t xml:space="preserve"> are appearances of </w:t>
      </w:r>
      <w:r w:rsidR="00E0599C">
        <w:t>T-Pains</w:t>
      </w:r>
      <w:r w:rsidR="009E4576">
        <w:t xml:space="preserve">.  And, like visual experiences and </w:t>
      </w:r>
      <w:r w:rsidR="004636ED">
        <w:t xml:space="preserve">the </w:t>
      </w:r>
      <w:r w:rsidR="009E4576">
        <w:t>apples</w:t>
      </w:r>
      <w:r w:rsidR="004636ED">
        <w:t xml:space="preserve"> they are experiences </w:t>
      </w:r>
      <w:r w:rsidR="004636ED">
        <w:rPr>
          <w:i/>
        </w:rPr>
        <w:t>of</w:t>
      </w:r>
      <w:r w:rsidR="009E4576">
        <w:t>, one can occur in the absence of the other.</w:t>
      </w:r>
      <w:r w:rsidR="004636ED">
        <w:t xml:space="preserve">  </w:t>
      </w:r>
      <w:r w:rsidR="00B93A07">
        <w:t>Thus</w:t>
      </w:r>
      <w:r>
        <w:t xml:space="preserve">, if we read ‘pain’ as </w:t>
      </w:r>
      <w:r w:rsidR="00E0599C">
        <w:t>referring to T-Pain</w:t>
      </w:r>
      <w:r>
        <w:t xml:space="preserve"> in the consequent of </w:t>
      </w:r>
      <w:r w:rsidR="00F079D4">
        <w:t xml:space="preserve">premise two, the premise </w:t>
      </w:r>
      <w:r w:rsidR="00573E07">
        <w:t xml:space="preserve">is clearly </w:t>
      </w:r>
      <w:r>
        <w:t xml:space="preserve">false.  </w:t>
      </w:r>
    </w:p>
    <w:p w14:paraId="086A7CD9" w14:textId="704C126F" w:rsidR="002B5923" w:rsidRDefault="00B93A07" w:rsidP="00F655BD">
      <w:r>
        <w:t>The</w:t>
      </w:r>
      <w:r w:rsidR="00063698">
        <w:t xml:space="preserve"> </w:t>
      </w:r>
      <w:r w:rsidR="004636ED">
        <w:t xml:space="preserve">defender of premise two </w:t>
      </w:r>
      <w:r>
        <w:t>will therefore need to</w:t>
      </w:r>
      <w:r w:rsidR="004636ED">
        <w:t xml:space="preserve"> insist </w:t>
      </w:r>
      <w:r w:rsidR="005D1CD1">
        <w:t xml:space="preserve">that kind of pain mentioned in the consequent of premise two is </w:t>
      </w:r>
      <w:r w:rsidR="00D355DD">
        <w:t>an S-Pain</w:t>
      </w:r>
      <w:r w:rsidR="00573E07">
        <w:t xml:space="preserve">.  </w:t>
      </w:r>
      <w:r w:rsidR="004636ED">
        <w:t xml:space="preserve">To make this </w:t>
      </w:r>
      <w:r w:rsidR="005D1CD1">
        <w:t>understanding</w:t>
      </w:r>
      <w:r>
        <w:t xml:space="preserve"> clear, we can rewrite the premise</w:t>
      </w:r>
      <w:r w:rsidR="004636ED">
        <w:t xml:space="preserve"> as:</w:t>
      </w:r>
    </w:p>
    <w:p w14:paraId="784438EA" w14:textId="6B4BBBEE" w:rsidR="004636ED" w:rsidRDefault="004636ED" w:rsidP="00F655BD">
      <w:r>
        <w:t xml:space="preserve">2*) If it appears to you that you </w:t>
      </w:r>
      <w:r w:rsidR="005D1CD1">
        <w:t>are in pain</w:t>
      </w:r>
      <w:r>
        <w:t xml:space="preserve">, </w:t>
      </w:r>
      <w:r w:rsidR="006C5A37">
        <w:t>the</w:t>
      </w:r>
      <w:r w:rsidR="00E0599C">
        <w:t xml:space="preserve">n you just are having </w:t>
      </w:r>
      <w:r w:rsidR="00573E07">
        <w:t>an S-Pain</w:t>
      </w:r>
      <w:r>
        <w:t>.</w:t>
      </w:r>
    </w:p>
    <w:p w14:paraId="31FEA2AC" w14:textId="7C37DB79" w:rsidR="001C16EA" w:rsidRDefault="00072A31" w:rsidP="00F655BD">
      <w:r>
        <w:t>But now there is a more serious</w:t>
      </w:r>
      <w:r w:rsidR="00107F96">
        <w:t xml:space="preserve"> form of</w:t>
      </w:r>
      <w:r w:rsidR="004636ED">
        <w:t xml:space="preserve"> equivocation present in both</w:t>
      </w:r>
      <w:r w:rsidR="00E0599C">
        <w:t xml:space="preserve"> premises</w:t>
      </w:r>
      <w:r w:rsidR="004636ED">
        <w:t xml:space="preserve"> 2* and 1 that we </w:t>
      </w:r>
      <w:r w:rsidR="00034CA2">
        <w:t>must</w:t>
      </w:r>
      <w:r w:rsidR="00DA6F70">
        <w:t xml:space="preserve"> consider</w:t>
      </w:r>
      <w:r w:rsidR="00034CA2">
        <w:t>.</w:t>
      </w:r>
      <w:r w:rsidR="00A6226D">
        <w:t xml:space="preserve">  So far we have discussed one kind of appearance, </w:t>
      </w:r>
      <w:r w:rsidR="004636ED">
        <w:t xml:space="preserve">what we might call </w:t>
      </w:r>
      <w:r w:rsidR="004636ED">
        <w:rPr>
          <w:i/>
        </w:rPr>
        <w:t>sensorial appearances</w:t>
      </w:r>
      <w:r w:rsidR="004636ED">
        <w:t xml:space="preserve">.  Both </w:t>
      </w:r>
      <w:r w:rsidR="00E0599C">
        <w:t>a</w:t>
      </w:r>
      <w:r w:rsidR="004636ED">
        <w:t xml:space="preserve"> visual experience of an oasis and </w:t>
      </w:r>
      <w:r w:rsidR="00573E07">
        <w:t>an S-Pain</w:t>
      </w:r>
      <w:r w:rsidR="004636ED">
        <w:t xml:space="preserve"> can be thought of as sensorial appearances, insofar as they </w:t>
      </w:r>
      <w:r w:rsidR="00A6226D">
        <w:t xml:space="preserve">are states with sensory character that </w:t>
      </w:r>
      <w:r w:rsidR="004636ED">
        <w:t xml:space="preserve">indicate </w:t>
      </w:r>
      <w:r w:rsidR="00DA6F70">
        <w:t xml:space="preserve">or represent </w:t>
      </w:r>
      <w:r w:rsidR="004636ED">
        <w:t>the presence of some</w:t>
      </w:r>
      <w:r w:rsidR="00DA6F70">
        <w:t xml:space="preserve"> responsible stimulus</w:t>
      </w:r>
      <w:r>
        <w:t xml:space="preserve"> (an oasis </w:t>
      </w:r>
      <w:r w:rsidR="003F490A">
        <w:t>and</w:t>
      </w:r>
      <w:r w:rsidR="004636ED">
        <w:t xml:space="preserve"> a </w:t>
      </w:r>
      <w:r w:rsidR="00E0599C">
        <w:t>T-Pain</w:t>
      </w:r>
      <w:r w:rsidR="00034CA2">
        <w:t>, respectively</w:t>
      </w:r>
      <w:r w:rsidR="004636ED">
        <w:t xml:space="preserve">).  </w:t>
      </w:r>
      <w:r w:rsidR="00EF7C1A">
        <w:t xml:space="preserve">However, there are also </w:t>
      </w:r>
      <w:r w:rsidR="00EF7C1A">
        <w:rPr>
          <w:i/>
        </w:rPr>
        <w:t>doxastic appearances</w:t>
      </w:r>
      <w:r w:rsidR="00EF7C1A">
        <w:t xml:space="preserve">, which are appearances grounded in </w:t>
      </w:r>
      <w:r w:rsidR="00D807D7">
        <w:t>a person’s</w:t>
      </w:r>
      <w:r w:rsidR="00EF7C1A">
        <w:t xml:space="preserve"> beliefs.</w:t>
      </w:r>
      <w:r w:rsidR="002A4269">
        <w:rPr>
          <w:rStyle w:val="FootnoteReference"/>
        </w:rPr>
        <w:footnoteReference w:id="3"/>
      </w:r>
      <w:r w:rsidR="00EF7C1A">
        <w:t xml:space="preserve">  </w:t>
      </w:r>
      <w:r>
        <w:t>Frowning</w:t>
      </w:r>
      <w:r w:rsidR="00EF7C1A">
        <w:t xml:space="preserve"> into the empty cookie jar, it </w:t>
      </w:r>
      <w:r w:rsidR="00EF7C1A" w:rsidRPr="00D807D7">
        <w:rPr>
          <w:i/>
        </w:rPr>
        <w:t>appear</w:t>
      </w:r>
      <w:r w:rsidR="00D807D7" w:rsidRPr="00D807D7">
        <w:rPr>
          <w:i/>
        </w:rPr>
        <w:t>s</w:t>
      </w:r>
      <w:r w:rsidR="00EF7C1A">
        <w:t xml:space="preserve"> to me—in this</w:t>
      </w:r>
      <w:r w:rsidR="00E0599C">
        <w:t xml:space="preserve"> non-sensory,</w:t>
      </w:r>
      <w:r w:rsidR="00EF7C1A">
        <w:t xml:space="preserve"> doxastic sense—</w:t>
      </w:r>
      <w:r w:rsidR="00D807D7">
        <w:t xml:space="preserve">that John ate the last cookie.  </w:t>
      </w:r>
      <w:r w:rsidR="006C380D">
        <w:t>In</w:t>
      </w:r>
      <w:r w:rsidR="00E0599C">
        <w:t xml:space="preserve"> this same</w:t>
      </w:r>
      <w:r w:rsidR="006C380D">
        <w:t xml:space="preserve"> </w:t>
      </w:r>
      <w:r w:rsidR="00E0599C">
        <w:t xml:space="preserve">sense of appearances, the stammering defendant </w:t>
      </w:r>
      <w:r w:rsidR="00E0599C" w:rsidRPr="00E0599C">
        <w:rPr>
          <w:i/>
        </w:rPr>
        <w:t>appears</w:t>
      </w:r>
      <w:r w:rsidR="00E0599C">
        <w:t xml:space="preserve"> guilty during testimony.</w:t>
      </w:r>
      <w:r w:rsidR="006C380D">
        <w:t xml:space="preserve">  Quite generally, a belief that </w:t>
      </w:r>
      <w:r>
        <w:rPr>
          <w:i/>
        </w:rPr>
        <w:t>p</w:t>
      </w:r>
      <w:r w:rsidR="006C380D">
        <w:t xml:space="preserve"> is sufficient for its appearing to you that </w:t>
      </w:r>
      <w:r>
        <w:rPr>
          <w:i/>
        </w:rPr>
        <w:t>p</w:t>
      </w:r>
      <w:r w:rsidR="006C380D">
        <w:t xml:space="preserve">, in this sense of appearances.  </w:t>
      </w:r>
      <w:r w:rsidR="00A6226D">
        <w:t xml:space="preserve">  </w:t>
      </w:r>
      <w:r w:rsidR="00EF7C1A">
        <w:t xml:space="preserve"> </w:t>
      </w:r>
    </w:p>
    <w:p w14:paraId="10B36A24" w14:textId="05EBAF37" w:rsidR="001952C7" w:rsidRDefault="00D807D7" w:rsidP="00F655BD">
      <w:r>
        <w:t xml:space="preserve">It is standardly (though not unanimously </w:t>
      </w:r>
      <w:r w:rsidR="00034CA2">
        <w:fldChar w:fldCharType="begin"/>
      </w:r>
      <w:r w:rsidR="002A4269">
        <w:instrText xml:space="preserve"> ADDIN EN.CITE &lt;EndNote&gt;&lt;Cite&gt;&lt;Author&gt;Byrne&lt;/Author&gt;&lt;Year&gt;2012&lt;/Year&gt;&lt;RecNum&gt;620&lt;/RecNum&gt;&lt;DisplayText&gt;(Byrne, 2012)&lt;/DisplayText&gt;&lt;record&gt;&lt;rec-number&gt;620&lt;/rec-number&gt;&lt;foreign-keys&gt;&lt;key app="EN" db-id="v0vwpaxsertptmes2t5p2228rf5f520wfd5p"&gt;620&lt;/key&gt;&lt;/foreign-keys&gt;&lt;ref-type name="Book Section"&gt;5&lt;/ref-type&gt;&lt;contributors&gt;&lt;authors&gt;&lt;author&gt;Byrne, Alex&lt;/author&gt;&lt;/authors&gt;&lt;secondary-authors&gt;&lt;author&gt;Smithies, Declan&lt;/author&gt;&lt;author&gt;Stoljar, D.&lt;/author&gt;&lt;/secondary-authors&gt;&lt;/contributors&gt;&lt;titles&gt;&lt;title&gt;Knowing What I See&lt;/title&gt;&lt;secondary-title&gt;Introspection and Consciousness&lt;/secondary-title&gt;&lt;/titles&gt;&lt;pages&gt;183-210&lt;/pages&gt;&lt;dates&gt;&lt;year&gt;2012&lt;/year&gt;&lt;/dates&gt;&lt;pub-location&gt;Oxford&lt;/pub-location&gt;&lt;publisher&gt;Oxford University Press&lt;/publisher&gt;&lt;urls&gt;&lt;/urls&gt;&lt;/record&gt;&lt;/Cite&gt;&lt;/EndNote&gt;</w:instrText>
      </w:r>
      <w:r w:rsidR="00034CA2">
        <w:fldChar w:fldCharType="separate"/>
      </w:r>
      <w:r w:rsidR="00034CA2">
        <w:rPr>
          <w:noProof/>
        </w:rPr>
        <w:t>(Byrne, 2012)</w:t>
      </w:r>
      <w:r w:rsidR="00034CA2">
        <w:fldChar w:fldCharType="end"/>
      </w:r>
      <w:r w:rsidR="000C532F">
        <w:t>)</w:t>
      </w:r>
      <w:r>
        <w:t xml:space="preserve"> assumed </w:t>
      </w:r>
      <w:r w:rsidR="001C16EA">
        <w:t xml:space="preserve">that sensorial appearances are </w:t>
      </w:r>
      <w:r w:rsidR="00344E6D">
        <w:t xml:space="preserve">psychologically </w:t>
      </w:r>
      <w:r w:rsidR="001C16EA">
        <w:t xml:space="preserve">distinct from doxastic appearances.  To take a </w:t>
      </w:r>
      <w:r>
        <w:t>shopworn</w:t>
      </w:r>
      <w:r w:rsidR="001C16EA">
        <w:t xml:space="preserve"> example, t</w:t>
      </w:r>
      <w:r w:rsidR="00AD4EF4">
        <w:t>he parallel lines of the M</w:t>
      </w:r>
      <w:r w:rsidR="00E0599C">
        <w:t>ü</w:t>
      </w:r>
      <w:r w:rsidR="00AD4EF4">
        <w:t>ller-</w:t>
      </w:r>
      <w:r w:rsidR="001C16EA">
        <w:t xml:space="preserve">Lyer illusion look to be of different lengths, even </w:t>
      </w:r>
      <w:r w:rsidR="000C532F">
        <w:t>if</w:t>
      </w:r>
      <w:r w:rsidR="001C16EA">
        <w:t xml:space="preserve"> one </w:t>
      </w:r>
      <w:r w:rsidR="000C532F">
        <w:t>is</w:t>
      </w:r>
      <w:r w:rsidR="001C16EA">
        <w:t xml:space="preserve"> convinced (through measuring them) </w:t>
      </w:r>
      <w:r>
        <w:t>that they are in fact the same length</w:t>
      </w:r>
      <w:r w:rsidR="00432139">
        <w:t xml:space="preserve"> (see Figure 1)</w:t>
      </w:r>
      <w:r w:rsidR="001C16EA">
        <w:t>.</w:t>
      </w:r>
      <w:r w:rsidR="00B467C0">
        <w:t xml:space="preserve">  A natural way to </w:t>
      </w:r>
      <w:r w:rsidR="00DE4590">
        <w:t>describe</w:t>
      </w:r>
      <w:r w:rsidR="00B467C0">
        <w:t xml:space="preserve"> </w:t>
      </w:r>
      <w:r w:rsidR="000C532F">
        <w:t>the situation</w:t>
      </w:r>
      <w:r w:rsidR="00B467C0">
        <w:t xml:space="preserve"> is to say that the lines sensorily appear to be of different lengths while doxastically a</w:t>
      </w:r>
      <w:r w:rsidR="00DA6F70">
        <w:t xml:space="preserve">ppearing </w:t>
      </w:r>
      <w:r w:rsidR="001952C7">
        <w:t>to be the same length.  In other words</w:t>
      </w:r>
      <w:r w:rsidR="00DA6F70">
        <w:t xml:space="preserve">, </w:t>
      </w:r>
      <w:r w:rsidR="000C532F">
        <w:t xml:space="preserve">we visually represent </w:t>
      </w:r>
      <w:r w:rsidR="00DA6F70">
        <w:t xml:space="preserve">the lines as being of different lengths, while believing </w:t>
      </w:r>
      <w:r w:rsidR="000C532F">
        <w:t xml:space="preserve">that </w:t>
      </w:r>
      <w:r w:rsidR="00DA6F70">
        <w:t>they are the sam</w:t>
      </w:r>
      <w:r w:rsidR="001952C7">
        <w:t xml:space="preserve">e length.  </w:t>
      </w:r>
    </w:p>
    <w:p w14:paraId="49FA9D84" w14:textId="77777777" w:rsidR="00432139" w:rsidRDefault="00432139" w:rsidP="00F655BD"/>
    <w:p w14:paraId="23F843E3" w14:textId="4F45638B" w:rsidR="00432139" w:rsidRDefault="00432139" w:rsidP="00432139">
      <w:pPr>
        <w:jc w:val="center"/>
      </w:pPr>
      <w:r>
        <w:t>[Insert Figure 1 about here]</w:t>
      </w:r>
    </w:p>
    <w:p w14:paraId="2E79AED7" w14:textId="77777777" w:rsidR="00432139" w:rsidRDefault="00432139" w:rsidP="00F655BD"/>
    <w:p w14:paraId="4DFBAFC2" w14:textId="686BBFDA" w:rsidR="00A948C7" w:rsidRDefault="001952C7" w:rsidP="00F655BD">
      <w:r>
        <w:t xml:space="preserve">Now recall premise </w:t>
      </w:r>
      <w:r w:rsidR="00034CA2">
        <w:t>one above</w:t>
      </w:r>
      <w:r>
        <w:t>, which holds that i</w:t>
      </w:r>
      <w:r w:rsidR="00DA6F70">
        <w:t xml:space="preserve">f you believe you are in pain, then it appears to you that you are in pain.  </w:t>
      </w:r>
      <w:r w:rsidR="00D807D7">
        <w:t>If</w:t>
      </w:r>
      <w:r w:rsidR="00DA6F70">
        <w:t xml:space="preserve"> the sense of </w:t>
      </w:r>
      <w:r w:rsidR="00A948C7">
        <w:t>‘</w:t>
      </w:r>
      <w:r w:rsidR="00DA6F70">
        <w:t>appears</w:t>
      </w:r>
      <w:r w:rsidR="00A948C7">
        <w:t>’</w:t>
      </w:r>
      <w:r w:rsidR="00DA6F70">
        <w:t xml:space="preserve"> in the consequent is the doxastic sense</w:t>
      </w:r>
      <w:r w:rsidR="00D807D7">
        <w:t xml:space="preserve">, then this premise </w:t>
      </w:r>
      <w:r w:rsidR="00D807D7">
        <w:lastRenderedPageBreak/>
        <w:t xml:space="preserve">becomes </w:t>
      </w:r>
      <w:r w:rsidR="00034CA2">
        <w:t>a tautology</w:t>
      </w:r>
      <w:r w:rsidR="00D807D7">
        <w:t>.  It asserts</w:t>
      </w:r>
      <w:r w:rsidR="00DA6F70">
        <w:t>:  If you believe you are in pain, then you believe that you are in pain.  This</w:t>
      </w:r>
      <w:r w:rsidR="00D807D7">
        <w:t xml:space="preserve"> presents a problem for the argument</w:t>
      </w:r>
      <w:r w:rsidR="00034CA2">
        <w:t xml:space="preserve"> as </w:t>
      </w:r>
      <w:r w:rsidR="0058616D">
        <w:t xml:space="preserve">a </w:t>
      </w:r>
      <w:r w:rsidR="00034CA2">
        <w:t>whole</w:t>
      </w:r>
      <w:r>
        <w:t xml:space="preserve">.  </w:t>
      </w:r>
      <w:r w:rsidR="00D807D7">
        <w:t>In</w:t>
      </w:r>
      <w:r w:rsidR="00A948C7">
        <w:t xml:space="preserve"> order for the argument to be valid, the sense of ‘appears’ must be the same in </w:t>
      </w:r>
      <w:r w:rsidRPr="001952C7">
        <w:rPr>
          <w:i/>
        </w:rPr>
        <w:t>both</w:t>
      </w:r>
      <w:r>
        <w:t xml:space="preserve"> premises</w:t>
      </w:r>
      <w:r w:rsidR="00A948C7">
        <w:t xml:space="preserve">.  </w:t>
      </w:r>
      <w:r w:rsidR="00D807D7">
        <w:t xml:space="preserve">But </w:t>
      </w:r>
      <w:r w:rsidR="00034CA2">
        <w:t>interpreting the ‘appears’ of 2* doxastically turns</w:t>
      </w:r>
      <w:r w:rsidR="00D807D7">
        <w:t xml:space="preserve"> </w:t>
      </w:r>
      <w:r w:rsidR="00A948C7">
        <w:t xml:space="preserve">2* into:  “If you believe that you are in pain, then you are having a pain as sensation.”  2* is now simply asserting the principle that there are no false positives with respect to pain, which was </w:t>
      </w:r>
      <w:r>
        <w:t xml:space="preserve">the intended </w:t>
      </w:r>
      <w:r w:rsidR="00A948C7">
        <w:t xml:space="preserve">conclusion of the argument.  </w:t>
      </w:r>
      <w:r>
        <w:t xml:space="preserve">Thus 2* cannot be used as part of an </w:t>
      </w:r>
      <w:r w:rsidRPr="0058616D">
        <w:t>argument</w:t>
      </w:r>
      <w:r>
        <w:t xml:space="preserve"> for that conclusion</w:t>
      </w:r>
      <w:r w:rsidR="00034CA2">
        <w:t>.</w:t>
      </w:r>
    </w:p>
    <w:p w14:paraId="4B9286A8" w14:textId="3DAD8701" w:rsidR="00275BE5" w:rsidRPr="00E34615" w:rsidRDefault="00A948C7" w:rsidP="00F655BD">
      <w:r>
        <w:t xml:space="preserve">What if we interpret the </w:t>
      </w:r>
      <w:r w:rsidR="001952C7">
        <w:t xml:space="preserve">‘appears’ of premise 1 in the </w:t>
      </w:r>
      <w:r w:rsidR="001952C7" w:rsidRPr="001952C7">
        <w:rPr>
          <w:i/>
        </w:rPr>
        <w:t>sensorial appearance</w:t>
      </w:r>
      <w:r w:rsidR="001952C7">
        <w:t xml:space="preserve"> sense and not the doxastic sense</w:t>
      </w:r>
      <w:r w:rsidR="00034CA2">
        <w:t>, and do the same for 2*</w:t>
      </w:r>
      <w:r w:rsidR="001952C7">
        <w:t xml:space="preserve">?  In that case, </w:t>
      </w:r>
      <w:r w:rsidR="00344E6D">
        <w:t xml:space="preserve">premise </w:t>
      </w:r>
      <w:r w:rsidR="001952C7">
        <w:t>1 would read:  “If you believe that you are in pain, then you are having a pain as sensation.”</w:t>
      </w:r>
      <w:r w:rsidR="00275BE5">
        <w:t xml:space="preserve">  </w:t>
      </w:r>
      <w:r w:rsidR="00034CA2">
        <w:t xml:space="preserve">Now </w:t>
      </w:r>
      <w:r w:rsidR="00275BE5">
        <w:t xml:space="preserve">premise 1 </w:t>
      </w:r>
      <w:r w:rsidR="00143A2D">
        <w:t>has become equivalent to the</w:t>
      </w:r>
      <w:r w:rsidR="00275BE5">
        <w:t xml:space="preserve"> argument’s </w:t>
      </w:r>
      <w:r w:rsidR="00034CA2">
        <w:t xml:space="preserve">intended </w:t>
      </w:r>
      <w:r w:rsidR="00275BE5">
        <w:t xml:space="preserve">conclusion.  </w:t>
      </w:r>
      <w:r w:rsidR="00034CA2">
        <w:t>It therefore</w:t>
      </w:r>
      <w:r w:rsidR="00275BE5">
        <w:t xml:space="preserve"> cannot be used in an argument for that conclusion.</w:t>
      </w:r>
      <w:r w:rsidR="00E0599C">
        <w:t xml:space="preserve">  Doing so is</w:t>
      </w:r>
      <w:r w:rsidR="00086FCC">
        <w:t xml:space="preserve"> </w:t>
      </w:r>
      <w:r w:rsidR="00086FCC" w:rsidRPr="00541BEC">
        <w:t>begging the question.</w:t>
      </w:r>
      <w:r w:rsidR="00E34615" w:rsidRPr="00541BEC">
        <w:t xml:space="preserve">  </w:t>
      </w:r>
    </w:p>
    <w:p w14:paraId="4F44CB6C" w14:textId="77777777" w:rsidR="00D6051C" w:rsidRDefault="00D6051C" w:rsidP="00F655BD">
      <w:pPr>
        <w:rPr>
          <w:i/>
        </w:rPr>
      </w:pPr>
      <w:r>
        <w:rPr>
          <w:i/>
        </w:rPr>
        <w:t>Sensations and beliefs</w:t>
      </w:r>
    </w:p>
    <w:p w14:paraId="1D3CD9C2" w14:textId="6DC51FC3" w:rsidR="004636ED" w:rsidRDefault="00D6051C" w:rsidP="00F655BD">
      <w:r>
        <w:t xml:space="preserve">We have seen that simple appeals to the lack of an appearance/reality distinction in the case of pain </w:t>
      </w:r>
      <w:r w:rsidR="003A3BE0">
        <w:t xml:space="preserve">cannot serve as </w:t>
      </w:r>
      <w:r w:rsidR="003A3BE0" w:rsidRPr="003A3BE0">
        <w:rPr>
          <w:i/>
        </w:rPr>
        <w:t>arguments</w:t>
      </w:r>
      <w:r w:rsidR="00926DE1">
        <w:t xml:space="preserve"> for the incorrigibility thesis</w:t>
      </w:r>
      <w:r w:rsidR="00344E6D">
        <w:t>.  T</w:t>
      </w:r>
      <w:r w:rsidR="003A3BE0">
        <w:t>hey either equivocate on two distinct senses of ‘appearance’, or assume that which is in question</w:t>
      </w:r>
      <w:r w:rsidR="00086FCC">
        <w:t>.</w:t>
      </w:r>
      <w:r>
        <w:t xml:space="preserve">  </w:t>
      </w:r>
      <w:r w:rsidR="00926DE1">
        <w:t>Thus, i</w:t>
      </w:r>
      <w:r w:rsidR="005C446A">
        <w:t xml:space="preserve">f one is inclined to accept the incorrigibility thesis, it cannot be </w:t>
      </w:r>
      <w:r w:rsidR="005C446A" w:rsidRPr="005C446A">
        <w:rPr>
          <w:i/>
        </w:rPr>
        <w:t>for the</w:t>
      </w:r>
      <w:r w:rsidR="005C446A">
        <w:t xml:space="preserve"> </w:t>
      </w:r>
      <w:r w:rsidR="005C446A" w:rsidRPr="005C446A">
        <w:rPr>
          <w:i/>
        </w:rPr>
        <w:t>reason</w:t>
      </w:r>
      <w:r w:rsidR="005C446A">
        <w:t xml:space="preserve"> that there is no appearance-reality distinction in the case of pain.  </w:t>
      </w:r>
      <w:r w:rsidR="00926DE1">
        <w:t>Yet</w:t>
      </w:r>
      <w:r w:rsidR="00AD4CF3">
        <w:t xml:space="preserve"> this is not to say that there are no </w:t>
      </w:r>
      <w:r w:rsidR="00AD4CF3" w:rsidRPr="005C446A">
        <w:rPr>
          <w:i/>
        </w:rPr>
        <w:t>other</w:t>
      </w:r>
      <w:r w:rsidR="00AD4CF3">
        <w:t xml:space="preserve"> reasons one might have for accepting </w:t>
      </w:r>
      <w:r w:rsidR="00AD4CF3" w:rsidRPr="005C446A">
        <w:rPr>
          <w:i/>
        </w:rPr>
        <w:t>both</w:t>
      </w:r>
      <w:r w:rsidR="00AD4CF3">
        <w:t xml:space="preserve"> the incorrigibility thesis the version of the appearance/reality claim that assumes it.  </w:t>
      </w:r>
    </w:p>
    <w:p w14:paraId="5EFB1824" w14:textId="70B4E21D" w:rsidR="009142C2" w:rsidRDefault="00926DE1" w:rsidP="00DD6CD0">
      <w:r>
        <w:t xml:space="preserve">Before </w:t>
      </w:r>
      <w:r w:rsidR="00FC0953">
        <w:t>considering those reasons</w:t>
      </w:r>
      <w:r w:rsidR="00541BEC">
        <w:t>, let u</w:t>
      </w:r>
      <w:r w:rsidR="005C446A">
        <w:t>s</w:t>
      </w:r>
      <w:r>
        <w:t xml:space="preserve"> first</w:t>
      </w:r>
      <w:r w:rsidR="00FC0953">
        <w:t xml:space="preserve"> air some s</w:t>
      </w:r>
      <w:r w:rsidR="005C446A">
        <w:t xml:space="preserve">kepticism concerning incorrigibility.  </w:t>
      </w:r>
      <w:r w:rsidR="00C95C3D">
        <w:t xml:space="preserve">The mere fact that beliefs are not </w:t>
      </w:r>
      <w:r w:rsidR="00086FCC">
        <w:t xml:space="preserve">themselves </w:t>
      </w:r>
      <w:r w:rsidR="005C446A">
        <w:t>S-Pains</w:t>
      </w:r>
      <w:r w:rsidR="00545B91">
        <w:t>—</w:t>
      </w:r>
      <w:r w:rsidR="00610B4A">
        <w:t>the fact that</w:t>
      </w:r>
      <w:r w:rsidR="00545B91">
        <w:t xml:space="preserve"> the two are “distinct existences</w:t>
      </w:r>
      <w:r w:rsidR="005509F0">
        <w:t xml:space="preserve">,” </w:t>
      </w:r>
      <w:r w:rsidR="00545B91">
        <w:t>as philosophers say—</w:t>
      </w:r>
      <w:r w:rsidR="00C95C3D">
        <w:t>might seem enough</w:t>
      </w:r>
      <w:r w:rsidR="00610B4A">
        <w:t xml:space="preserve"> by itself</w:t>
      </w:r>
      <w:r w:rsidR="00C95C3D">
        <w:t xml:space="preserve"> to undermine</w:t>
      </w:r>
      <w:r w:rsidR="00545B91">
        <w:t xml:space="preserve"> the</w:t>
      </w:r>
      <w:r w:rsidR="00C95C3D">
        <w:t xml:space="preserve"> incorrigibility thesis.  </w:t>
      </w:r>
      <w:r w:rsidR="009142C2">
        <w:t>One could grant that we don’t</w:t>
      </w:r>
      <w:r w:rsidR="00C95C3D">
        <w:t xml:space="preserve"> </w:t>
      </w:r>
      <w:r w:rsidR="00C95C3D" w:rsidRPr="00545B91">
        <w:rPr>
          <w:i/>
        </w:rPr>
        <w:t>normally</w:t>
      </w:r>
      <w:r w:rsidR="00C95C3D">
        <w:t xml:space="preserve"> form a belief that we are in pain when we are not</w:t>
      </w:r>
      <w:r w:rsidR="005C7764">
        <w:t xml:space="preserve"> in pain</w:t>
      </w:r>
      <w:r w:rsidR="00C95C3D">
        <w:t>, and vice versa</w:t>
      </w:r>
      <w:r w:rsidR="005509F0">
        <w:t>;</w:t>
      </w:r>
      <w:r w:rsidR="00C95C3D">
        <w:t xml:space="preserve"> but</w:t>
      </w:r>
      <w:r w:rsidR="005C446A">
        <w:t>,</w:t>
      </w:r>
      <w:r w:rsidR="00C95C3D">
        <w:t xml:space="preserve"> given that the belief that I am in pain is one thing, and the pain another</w:t>
      </w:r>
      <w:r w:rsidR="00610B4A">
        <w:t xml:space="preserve">, why should it be absolutely impossible for one to occur without the other?  </w:t>
      </w:r>
    </w:p>
    <w:p w14:paraId="785A48FC" w14:textId="312E3098" w:rsidR="004D62FC" w:rsidRDefault="002F420B" w:rsidP="00DD6CD0">
      <w:r>
        <w:t>Now, for</w:t>
      </w:r>
      <w:r w:rsidR="005C446A">
        <w:t xml:space="preserve"> an </w:t>
      </w:r>
      <w:r w:rsidR="005C446A" w:rsidRPr="006A1E84">
        <w:rPr>
          <w:i/>
        </w:rPr>
        <w:t>intense</w:t>
      </w:r>
      <w:r w:rsidR="005C446A">
        <w:t xml:space="preserve"> pain—caused</w:t>
      </w:r>
      <w:r w:rsidR="006A1E84">
        <w:t>, say,</w:t>
      </w:r>
      <w:r w:rsidR="005C446A">
        <w:t xml:space="preserve"> by slamming your hand in a door</w:t>
      </w:r>
      <w:r w:rsidR="006A1E84">
        <w:t xml:space="preserve">—it might seem </w:t>
      </w:r>
      <w:r w:rsidR="005C446A" w:rsidRPr="006A1E84">
        <w:rPr>
          <w:i/>
        </w:rPr>
        <w:t>bizarre</w:t>
      </w:r>
      <w:r w:rsidR="005C446A">
        <w:t xml:space="preserve"> </w:t>
      </w:r>
      <w:r w:rsidR="006A1E84">
        <w:t xml:space="preserve">to think that someone </w:t>
      </w:r>
      <w:r w:rsidR="00323D69">
        <w:t>could</w:t>
      </w:r>
      <w:r w:rsidR="006A1E84">
        <w:t xml:space="preserve"> </w:t>
      </w:r>
      <w:r w:rsidR="005C446A">
        <w:t>sincerely</w:t>
      </w:r>
      <w:r w:rsidR="006A1E84">
        <w:t xml:space="preserve"> </w:t>
      </w:r>
      <w:r w:rsidR="005C446A">
        <w:t xml:space="preserve">deny feeling </w:t>
      </w:r>
      <w:r w:rsidR="006A1E84">
        <w:t>it</w:t>
      </w:r>
      <w:r w:rsidR="005C446A">
        <w:t>.</w:t>
      </w:r>
      <w:r w:rsidR="006A1E84">
        <w:t xml:space="preserve">  </w:t>
      </w:r>
      <w:r w:rsidR="00610B4A">
        <w:t>But consider</w:t>
      </w:r>
      <w:r w:rsidR="00B2116C">
        <w:t xml:space="preserve"> delusions.  </w:t>
      </w:r>
      <w:r w:rsidR="0033486C">
        <w:t xml:space="preserve">Delusions are plausibly characterized as </w:t>
      </w:r>
      <w:r w:rsidR="0033486C" w:rsidRPr="00BA6A15">
        <w:rPr>
          <w:i/>
        </w:rPr>
        <w:t>beliefs</w:t>
      </w:r>
      <w:r w:rsidR="0033486C">
        <w:t>, however</w:t>
      </w:r>
      <w:r w:rsidR="00B2116C">
        <w:t xml:space="preserve"> </w:t>
      </w:r>
      <w:r w:rsidR="00FC0953">
        <w:t xml:space="preserve">strange </w:t>
      </w:r>
      <w:r w:rsidR="0033486C">
        <w:t xml:space="preserve">they may be </w:t>
      </w:r>
      <w:r w:rsidR="001D3F93">
        <w:fldChar w:fldCharType="begin"/>
      </w:r>
      <w:r w:rsidR="001D3F93">
        <w:instrText xml:space="preserve"> ADDIN EN.CITE &lt;EndNote&gt;&lt;Cite&gt;&lt;Author&gt;Bortolotti&lt;/Author&gt;&lt;Year&gt;2009&lt;/Year&gt;&lt;RecNum&gt;283&lt;/RecNum&gt;&lt;DisplayText&gt;(Bortolotti, 2009)&lt;/DisplayText&gt;&lt;record&gt;&lt;rec-number&gt;283&lt;/rec-number&gt;&lt;foreign-keys&gt;&lt;key app="EN" db-id="v0vwpaxsertptmes2t5p2228rf5f520wfd5p"&gt;283&lt;/key&gt;&lt;/foreign-keys&gt;&lt;ref-type name="Book"&gt;6&lt;/ref-type&gt;&lt;contributors&gt;&lt;authors&gt;&lt;author&gt;Bortolotti, L.&lt;/author&gt;&lt;/authors&gt;&lt;/contributors&gt;&lt;titles&gt;&lt;title&gt;Delusions and Other Irrational Beliefs&lt;/title&gt;&lt;secondary-title&gt;International Perspectives in Philosophy and Psychiatry&lt;/secondary-title&gt;&lt;/titles&gt;&lt;dates&gt;&lt;year&gt;2009&lt;/year&gt;&lt;/dates&gt;&lt;pub-location&gt;Oxford&lt;/pub-location&gt;&lt;publisher&gt;Oxford University Press&lt;/publisher&gt;&lt;urls&gt;&lt;/urls&gt;&lt;/record&gt;&lt;/Cite&gt;&lt;/EndNote&gt;</w:instrText>
      </w:r>
      <w:r w:rsidR="001D3F93">
        <w:fldChar w:fldCharType="separate"/>
      </w:r>
      <w:r w:rsidR="001D3F93">
        <w:rPr>
          <w:noProof/>
        </w:rPr>
        <w:t>(Bortolotti, 2009)</w:t>
      </w:r>
      <w:r w:rsidR="001D3F93">
        <w:fldChar w:fldCharType="end"/>
      </w:r>
      <w:r w:rsidR="004D62FC">
        <w:t xml:space="preserve">.  </w:t>
      </w:r>
      <w:r w:rsidR="00FC0953">
        <w:t xml:space="preserve">It </w:t>
      </w:r>
      <w:r w:rsidR="005D2526">
        <w:t>is not uncommon for a person with schizophrenia to believe tha</w:t>
      </w:r>
      <w:r w:rsidR="00C95C3D">
        <w:t xml:space="preserve">t another person’s thoughts have been inserted into </w:t>
      </w:r>
      <w:r w:rsidR="005D2526">
        <w:t xml:space="preserve">his </w:t>
      </w:r>
      <w:r w:rsidR="00E56E7A">
        <w:t xml:space="preserve">mind, </w:t>
      </w:r>
      <w:r w:rsidR="004D62FC">
        <w:t>or</w:t>
      </w:r>
      <w:r w:rsidR="00E56E7A">
        <w:t xml:space="preserve"> tha</w:t>
      </w:r>
      <w:r w:rsidR="004D62FC">
        <w:t xml:space="preserve">t aliens are secretly monitoring </w:t>
      </w:r>
      <w:r w:rsidR="005D2526">
        <w:t xml:space="preserve">his </w:t>
      </w:r>
      <w:r w:rsidR="004D62FC">
        <w:t>activities</w:t>
      </w:r>
      <w:r w:rsidR="00FC0953">
        <w:t xml:space="preserve"> </w:t>
      </w:r>
      <w:r w:rsidR="00FC0953">
        <w:fldChar w:fldCharType="begin"/>
      </w:r>
      <w:r w:rsidR="002A4269">
        <w:instrText xml:space="preserve"> ADDIN EN.CITE &lt;EndNote&gt;&lt;Cite&gt;&lt;Author&gt;Langland-Hassan&lt;/Author&gt;&lt;Year&gt;2008&lt;/Year&gt;&lt;RecNum&gt;231&lt;/RecNum&gt;&lt;DisplayText&gt;(Langland-Hassan, 2008)&lt;/DisplayText&gt;&lt;record&gt;&lt;rec-number&gt;231&lt;/rec-number&gt;&lt;foreign-keys&gt;&lt;key app="EN" db-id="v0vwpaxsertptmes2t5p2228rf5f520wfd5p"&gt;231&lt;/key&gt;&lt;/foreign-keys&gt;&lt;ref-type name="Journal Article"&gt;17&lt;/ref-type&gt;&lt;contributors&gt;&lt;authors&gt;&lt;author&gt;Langland-Hassan, Peter&lt;/author&gt;&lt;/authors&gt;&lt;/contributors&gt;&lt;titles&gt;&lt;title&gt;Fractured Phenomenologies:  Thought Insertion, Inner Speech, and the Puzzle of Extraneity&lt;/title&gt;&lt;secondary-title&gt;Mind &amp;amp; Language&lt;/secondary-title&gt;&lt;/titles&gt;&lt;pages&gt;369-401&lt;/pages&gt;&lt;volume&gt;23&lt;/volume&gt;&lt;number&gt;4&lt;/number&gt;&lt;dates&gt;&lt;year&gt;2008&lt;/year&gt;&lt;/dates&gt;&lt;urls&gt;&lt;/urls&gt;&lt;/record&gt;&lt;/Cite&gt;&lt;/EndNote&gt;</w:instrText>
      </w:r>
      <w:r w:rsidR="00FC0953">
        <w:fldChar w:fldCharType="separate"/>
      </w:r>
      <w:r w:rsidR="00FC0953">
        <w:rPr>
          <w:noProof/>
        </w:rPr>
        <w:t>(Langland-Hassan, 2008)</w:t>
      </w:r>
      <w:r w:rsidR="00FC0953">
        <w:fldChar w:fldCharType="end"/>
      </w:r>
      <w:r w:rsidR="004D62FC">
        <w:t xml:space="preserve">.  If, in general, people are capable of having highly </w:t>
      </w:r>
      <w:r w:rsidR="005509F0">
        <w:t>irrational</w:t>
      </w:r>
      <w:r w:rsidR="004D62FC">
        <w:t xml:space="preserve"> </w:t>
      </w:r>
      <w:r w:rsidR="006A1E84">
        <w:t xml:space="preserve">and bizarre </w:t>
      </w:r>
      <w:r w:rsidR="004D62FC">
        <w:t>false beliefs of this kind</w:t>
      </w:r>
      <w:r w:rsidR="006A1E84">
        <w:t xml:space="preserve">, </w:t>
      </w:r>
      <w:r w:rsidR="004273B7">
        <w:t xml:space="preserve">it is </w:t>
      </w:r>
      <w:r w:rsidR="004D62FC">
        <w:t xml:space="preserve">hard to see why mistaken beliefs about pains </w:t>
      </w:r>
      <w:r w:rsidR="004273B7">
        <w:t>w</w:t>
      </w:r>
      <w:r w:rsidR="004D62FC">
        <w:t>ould be an exception.</w:t>
      </w:r>
      <w:r w:rsidR="007C2BEA">
        <w:t xml:space="preserve">  </w:t>
      </w:r>
    </w:p>
    <w:p w14:paraId="3AAEEBD3" w14:textId="60A7E53E" w:rsidR="00DD6CD0" w:rsidRDefault="005C7764" w:rsidP="00F655BD">
      <w:r>
        <w:t xml:space="preserve">But there remain </w:t>
      </w:r>
      <w:r w:rsidR="004D62FC">
        <w:t>a number of</w:t>
      </w:r>
      <w:r w:rsidR="00F211BC">
        <w:t xml:space="preserve"> possible</w:t>
      </w:r>
      <w:r w:rsidR="004D62FC">
        <w:t xml:space="preserve"> replies for the defender of the incorrigibility thesis.  </w:t>
      </w:r>
      <w:r w:rsidR="00FC0953">
        <w:t xml:space="preserve">One is </w:t>
      </w:r>
      <w:r w:rsidR="00F211BC">
        <w:t xml:space="preserve">to hold that beliefs about pain can have a causal influence on the presence or absence of </w:t>
      </w:r>
      <w:r w:rsidR="00323D69">
        <w:t>pains</w:t>
      </w:r>
      <w:r w:rsidR="00F211BC">
        <w:t xml:space="preserve">.  </w:t>
      </w:r>
      <w:r w:rsidR="009E5CEC">
        <w:t xml:space="preserve">If </w:t>
      </w:r>
      <w:r w:rsidR="00F211BC">
        <w:t xml:space="preserve">a belief that one is in pain is sufficient to </w:t>
      </w:r>
      <w:r w:rsidR="00F211BC" w:rsidRPr="009E5CEC">
        <w:rPr>
          <w:i/>
        </w:rPr>
        <w:t>cause</w:t>
      </w:r>
      <w:r w:rsidR="00F211BC">
        <w:t xml:space="preserve"> a pain, and if a belief that one is not in pain were sufficient to </w:t>
      </w:r>
      <w:r w:rsidR="00F211BC" w:rsidRPr="009E5CEC">
        <w:rPr>
          <w:i/>
        </w:rPr>
        <w:t>extinguish</w:t>
      </w:r>
      <w:r w:rsidR="00F211BC">
        <w:t xml:space="preserve"> a pain, then there would be no false</w:t>
      </w:r>
      <w:r w:rsidR="00DE6AED">
        <w:t xml:space="preserve"> positives or false negatives.  </w:t>
      </w:r>
      <w:r w:rsidR="004273B7">
        <w:t>Of course, in</w:t>
      </w:r>
      <w:r w:rsidR="00414129">
        <w:t xml:space="preserve"> considering the M</w:t>
      </w:r>
      <w:r w:rsidR="00DE6AED">
        <w:t>ü</w:t>
      </w:r>
      <w:r w:rsidR="00414129">
        <w:t>ller-</w:t>
      </w:r>
      <w:r w:rsidR="00F211BC">
        <w:t xml:space="preserve">Lyer illusion above, we saw </w:t>
      </w:r>
      <w:r w:rsidR="00414129">
        <w:t>a</w:t>
      </w:r>
      <w:r w:rsidR="00F211BC">
        <w:t xml:space="preserve"> reason for thinking</w:t>
      </w:r>
      <w:r w:rsidR="00414129">
        <w:t xml:space="preserve"> that</w:t>
      </w:r>
      <w:r w:rsidR="00F211BC">
        <w:t xml:space="preserve"> beliefs cannot, in general, have this sort of effect on </w:t>
      </w:r>
      <w:r w:rsidR="00FC0953">
        <w:t>sens</w:t>
      </w:r>
      <w:r w:rsidR="00323D69">
        <w:t>ory-perceptual states</w:t>
      </w:r>
      <w:r w:rsidR="00FC0953">
        <w:t>;</w:t>
      </w:r>
      <w:r w:rsidR="009E5CEC">
        <w:t xml:space="preserve"> we continue to visually represent the two lines as being different lengths even after we </w:t>
      </w:r>
      <w:r w:rsidR="00414129">
        <w:t xml:space="preserve">believe </w:t>
      </w:r>
      <w:r w:rsidR="009E5CEC">
        <w:t>that they are equivalent</w:t>
      </w:r>
      <w:r w:rsidR="00414129">
        <w:t>.  This is</w:t>
      </w:r>
      <w:r w:rsidR="009E5CEC">
        <w:t xml:space="preserve"> just one instance of the</w:t>
      </w:r>
      <w:r w:rsidR="00DE6AED">
        <w:t xml:space="preserve"> so-called</w:t>
      </w:r>
      <w:r w:rsidR="009E5CEC">
        <w:t xml:space="preserve"> </w:t>
      </w:r>
      <w:r w:rsidR="00DE6AED">
        <w:rPr>
          <w:i/>
        </w:rPr>
        <w:t>cognitive</w:t>
      </w:r>
      <w:r w:rsidR="009E5CEC">
        <w:rPr>
          <w:i/>
        </w:rPr>
        <w:t xml:space="preserve"> impenetrability </w:t>
      </w:r>
      <w:r w:rsidR="009E5CEC">
        <w:t xml:space="preserve">of sensations and perceptual states by cognitive states such as beliefs and desires.  </w:t>
      </w:r>
    </w:p>
    <w:p w14:paraId="6399D64A" w14:textId="53B84CF4" w:rsidR="009E5CEC" w:rsidRPr="009E5CEC" w:rsidRDefault="009E5CEC" w:rsidP="00F655BD">
      <w:r>
        <w:lastRenderedPageBreak/>
        <w:t xml:space="preserve">However, blanket endorsements of cognitive impenetrability have </w:t>
      </w:r>
      <w:r w:rsidR="00BF57BE">
        <w:t xml:space="preserve">come under </w:t>
      </w:r>
      <w:r w:rsidR="00323D69">
        <w:t>fire</w:t>
      </w:r>
      <w:r>
        <w:t xml:space="preserve">.  </w:t>
      </w:r>
      <w:r w:rsidR="000C6318">
        <w:t xml:space="preserve">Arguably, there are </w:t>
      </w:r>
      <w:r>
        <w:t xml:space="preserve">some </w:t>
      </w:r>
      <w:r w:rsidR="00323D69">
        <w:t>cases</w:t>
      </w:r>
      <w:r>
        <w:t xml:space="preserve"> where one’s background bel</w:t>
      </w:r>
      <w:r w:rsidR="000C6318">
        <w:t>iefs, for inst</w:t>
      </w:r>
      <w:r w:rsidR="00BF57BE">
        <w:t>ance, exert an influence on</w:t>
      </w:r>
      <w:r>
        <w:t xml:space="preserve"> the nature of one’s</w:t>
      </w:r>
      <w:r w:rsidR="00BF57BE">
        <w:t xml:space="preserve"> current</w:t>
      </w:r>
      <w:r>
        <w:t xml:space="preserve"> perceptual states </w:t>
      </w:r>
      <w:r w:rsidR="001D3F93">
        <w:fldChar w:fldCharType="begin"/>
      </w:r>
      <w:r w:rsidR="001D3F93">
        <w:instrText xml:space="preserve"> ADDIN EN.CITE &lt;EndNote&gt;&lt;Cite&gt;&lt;Author&gt;Macpherson&lt;/Author&gt;&lt;Year&gt;2012&lt;/Year&gt;&lt;RecNum&gt;582&lt;/RecNum&gt;&lt;DisplayText&gt;(Lupyan, 2015; Macpherson, 2012)&lt;/DisplayText&gt;&lt;record&gt;&lt;rec-number&gt;582&lt;/rec-number&gt;&lt;foreign-keys&gt;&lt;key app="EN" db-id="v0vwpaxsertptmes2t5p2228rf5f520wfd5p"&gt;582&lt;/key&gt;&lt;/foreign-keys&gt;&lt;ref-type name="Journal Article"&gt;17&lt;/ref-type&gt;&lt;contributors&gt;&lt;authors&gt;&lt;author&gt;Macpherson, F.&lt;/author&gt;&lt;/authors&gt;&lt;/contributors&gt;&lt;titles&gt;&lt;title&gt;Cognitive Penetration of Colour Experience:  Rethinking the Issue in Light of an Indirect Mechanism&lt;/title&gt;&lt;secondary-title&gt;Philosophy and Phenomenological Research&lt;/secondary-title&gt;&lt;/titles&gt;&lt;periodical&gt;&lt;full-title&gt;Philosophy and Phenomenological Research&lt;/full-title&gt;&lt;/periodical&gt;&lt;pages&gt;24-62&lt;/pages&gt;&lt;volume&gt;84&lt;/volume&gt;&lt;number&gt;1&lt;/number&gt;&lt;dates&gt;&lt;year&gt;2012&lt;/year&gt;&lt;/dates&gt;&lt;urls&gt;&lt;/urls&gt;&lt;/record&gt;&lt;/Cite&gt;&lt;Cite&gt;&lt;Author&gt;Lupyan&lt;/Author&gt;&lt;Year&gt;2015&lt;/Year&gt;&lt;RecNum&gt;757&lt;/RecNum&gt;&lt;record&gt;&lt;rec-number&gt;757&lt;/rec-number&gt;&lt;foreign-keys&gt;&lt;key app="EN" db-id="v0vwpaxsertptmes2t5p2228rf5f520wfd5p"&gt;757&lt;/key&gt;&lt;/foreign-keys&gt;&lt;ref-type name="Journal Article"&gt;17&lt;/ref-type&gt;&lt;contributors&gt;&lt;authors&gt;&lt;author&gt;Lupyan, Gary&lt;/author&gt;&lt;/authors&gt;&lt;/contributors&gt;&lt;titles&gt;&lt;title&gt;Cognitive Penetrability of Perception in the Age of Prediction: Predictive Systems are Penetrable Systems&lt;/title&gt;&lt;secondary-title&gt;Review of Philosophy and Psychology&lt;/secondary-title&gt;&lt;/titles&gt;&lt;periodical&gt;&lt;full-title&gt;Review of Philosophy and Psychology&lt;/full-title&gt;&lt;/periodical&gt;&lt;pages&gt;547-569&lt;/pages&gt;&lt;volume&gt;6&lt;/volume&gt;&lt;number&gt;4&lt;/number&gt;&lt;dates&gt;&lt;year&gt;2015&lt;/year&gt;&lt;/dates&gt;&lt;isbn&gt;1878-5166&lt;/isbn&gt;&lt;label&gt;Lupyan2015&lt;/label&gt;&lt;work-type&gt;journal article&lt;/work-type&gt;&lt;urls&gt;&lt;related-urls&gt;&lt;url&gt;http://dx.doi.org/10.1007/s13164-015-0253-4&lt;/url&gt;&lt;/related-urls&gt;&lt;/urls&gt;&lt;electronic-resource-num&gt;10.1007/s13164-015-0253-4&lt;/electronic-resource-num&gt;&lt;/record&gt;&lt;/Cite&gt;&lt;/EndNote&gt;</w:instrText>
      </w:r>
      <w:r w:rsidR="001D3F93">
        <w:fldChar w:fldCharType="separate"/>
      </w:r>
      <w:r w:rsidR="001D3F93">
        <w:rPr>
          <w:noProof/>
        </w:rPr>
        <w:t>(Lupyan, 2015; Macpherson, 2012)</w:t>
      </w:r>
      <w:r w:rsidR="001D3F93">
        <w:fldChar w:fldCharType="end"/>
      </w:r>
      <w:r w:rsidR="001D3F93">
        <w:t>.</w:t>
      </w:r>
      <w:r>
        <w:t xml:space="preserve">  </w:t>
      </w:r>
      <w:r w:rsidR="001D3F93">
        <w:t xml:space="preserve">(Though see Firestone &amp; Scholl </w:t>
      </w:r>
      <w:r w:rsidR="001D3F93">
        <w:fldChar w:fldCharType="begin"/>
      </w:r>
      <w:r w:rsidR="001D3F93">
        <w:instrText xml:space="preserve"> ADDIN EN.CITE &lt;EndNote&gt;&lt;Cite ExcludeAuth="1"&gt;&lt;Author&gt;Firestone&lt;/Author&gt;&lt;Year&gt;forthcoming&lt;/Year&gt;&lt;RecNum&gt;758&lt;/RecNum&gt;&lt;DisplayText&gt;(forthcoming)&lt;/DisplayText&gt;&lt;record&gt;&lt;rec-number&gt;758&lt;/rec-number&gt;&lt;foreign-keys&gt;&lt;key app="EN" db-id="v0vwpaxsertptmes2t5p2228rf5f520wfd5p"&gt;758&lt;/key&gt;&lt;/foreign-keys&gt;&lt;ref-type name="Journal Article"&gt;17&lt;/ref-type&gt;&lt;contributors&gt;&lt;authors&gt;&lt;author&gt;Firestone, C.&lt;/author&gt;&lt;author&gt;Scholl, B.J.&lt;/author&gt;&lt;/authors&gt;&lt;/contributors&gt;&lt;titles&gt;&lt;title&gt;Cognition does not affect perception:  Evaluating the evidence for &amp;apos;top-down&amp;apos; effects&lt;/title&gt;&lt;secondary-title&gt;Behavioral and Brain Sciences&lt;/secondary-title&gt;&lt;/titles&gt;&lt;periodical&gt;&lt;full-title&gt;Behavioral and Brain Sciences&lt;/full-title&gt;&lt;/periodical&gt;&lt;dates&gt;&lt;year&gt;forthcoming&lt;/year&gt;&lt;/dates&gt;&lt;urls&gt;&lt;/urls&gt;&lt;/record&gt;&lt;/Cite&gt;&lt;/EndNote&gt;</w:instrText>
      </w:r>
      <w:r w:rsidR="001D3F93">
        <w:fldChar w:fldCharType="separate"/>
      </w:r>
      <w:r w:rsidR="001D3F93">
        <w:rPr>
          <w:noProof/>
        </w:rPr>
        <w:t>(forthcoming)</w:t>
      </w:r>
      <w:r w:rsidR="001D3F93">
        <w:fldChar w:fldCharType="end"/>
      </w:r>
      <w:r w:rsidR="001D3F93">
        <w:t xml:space="preserve">).  </w:t>
      </w:r>
      <w:r>
        <w:t>This may seem</w:t>
      </w:r>
      <w:r w:rsidR="00373272">
        <w:t xml:space="preserve"> to</w:t>
      </w:r>
      <w:r>
        <w:t xml:space="preserve"> open the door for a defens</w:t>
      </w:r>
      <w:r w:rsidR="000C6318">
        <w:t xml:space="preserve">e of the </w:t>
      </w:r>
      <w:r w:rsidR="00F570C7">
        <w:t>incorrigibility</w:t>
      </w:r>
      <w:r w:rsidR="000C6318">
        <w:t xml:space="preserve"> thesis.  </w:t>
      </w:r>
      <w:r w:rsidR="00BF57BE">
        <w:t xml:space="preserve">For </w:t>
      </w:r>
      <w:r w:rsidR="00373272">
        <w:t xml:space="preserve">if pains are cognitively penetrable, </w:t>
      </w:r>
      <w:r w:rsidR="00BF57BE">
        <w:t>perhaps</w:t>
      </w:r>
      <w:r w:rsidR="000C6318">
        <w:t xml:space="preserve"> a firm belief that one is in pain is sufficient to give rise to a pain after all</w:t>
      </w:r>
      <w:r w:rsidR="00C1558A">
        <w:t>—s</w:t>
      </w:r>
      <w:r w:rsidR="00DE6AED">
        <w:t>uch as</w:t>
      </w:r>
      <w:r w:rsidR="00DD5AF6">
        <w:t xml:space="preserve"> </w:t>
      </w:r>
      <w:r w:rsidR="00DE6AED">
        <w:t xml:space="preserve">when a dental patient, fearing the approaching drill, </w:t>
      </w:r>
      <w:r w:rsidR="00C1558A">
        <w:t xml:space="preserve">cries out in pain despite the removal of </w:t>
      </w:r>
      <w:r w:rsidR="00DD5AF6">
        <w:t>any nerve the drill might hit</w:t>
      </w:r>
      <w:r w:rsidR="000C6318">
        <w:t xml:space="preserve">.  </w:t>
      </w:r>
      <w:r w:rsidR="00345526">
        <w:t>Likewise,</w:t>
      </w:r>
      <w:r w:rsidR="000C6318">
        <w:t xml:space="preserve"> perhaps the power of positive thinking</w:t>
      </w:r>
      <w:r w:rsidR="00345526">
        <w:t xml:space="preserve">—“I am </w:t>
      </w:r>
      <w:r w:rsidR="00345526">
        <w:rPr>
          <w:i/>
        </w:rPr>
        <w:t xml:space="preserve">not </w:t>
      </w:r>
      <w:r w:rsidR="00345526">
        <w:t>in pain!</w:t>
      </w:r>
      <w:r w:rsidR="00DE6AED">
        <w:t xml:space="preserve">  I am mighty!</w:t>
      </w:r>
      <w:r w:rsidR="00345526">
        <w:t>”—i</w:t>
      </w:r>
      <w:r w:rsidR="000C6318">
        <w:t>s</w:t>
      </w:r>
      <w:r w:rsidR="00373272">
        <w:t xml:space="preserve"> </w:t>
      </w:r>
      <w:r w:rsidR="00DD5AF6">
        <w:t>strong</w:t>
      </w:r>
      <w:r w:rsidR="000C6318">
        <w:t xml:space="preserve"> enough to make</w:t>
      </w:r>
      <w:r w:rsidR="00DE6AED">
        <w:t xml:space="preserve"> some</w:t>
      </w:r>
      <w:r w:rsidR="000C6318">
        <w:t xml:space="preserve"> pains disappear</w:t>
      </w:r>
      <w:r w:rsidR="00A90AD8">
        <w:t>. (S</w:t>
      </w:r>
      <w:r w:rsidR="00FD1F31">
        <w:t xml:space="preserve">ee also </w:t>
      </w:r>
      <w:r w:rsidR="00A90AD8">
        <w:t xml:space="preserve">Chapter 23 on pain and cognitive penetrability, and </w:t>
      </w:r>
      <w:r w:rsidR="00FD1F31">
        <w:t>Chapter 34 on pain and placebo)</w:t>
      </w:r>
      <w:r w:rsidR="000C6318">
        <w:t xml:space="preserve">.  </w:t>
      </w:r>
      <w:r w:rsidR="00DD5AF6">
        <w:t>Yet</w:t>
      </w:r>
      <w:r w:rsidR="000C6318">
        <w:t xml:space="preserve"> we have to </w:t>
      </w:r>
      <w:r w:rsidR="00BF57BE">
        <w:t>bear</w:t>
      </w:r>
      <w:r w:rsidR="000C6318">
        <w:t xml:space="preserve"> in mind the strength of the incorrigibility thesis.  It does not merely </w:t>
      </w:r>
      <w:r w:rsidR="00BF57BE">
        <w:t>state</w:t>
      </w:r>
      <w:r w:rsidR="000C6318">
        <w:t xml:space="preserve"> that a belief </w:t>
      </w:r>
      <w:r w:rsidR="000C6318" w:rsidRPr="00345526">
        <w:rPr>
          <w:i/>
        </w:rPr>
        <w:t>can</w:t>
      </w:r>
      <w:r w:rsidR="000C6318">
        <w:t xml:space="preserve"> cause a pain, or make one go away, but that there can </w:t>
      </w:r>
      <w:r w:rsidR="000C6318">
        <w:rPr>
          <w:i/>
        </w:rPr>
        <w:t xml:space="preserve">never </w:t>
      </w:r>
      <w:r w:rsidR="000C6318">
        <w:t>be a</w:t>
      </w:r>
      <w:r w:rsidR="000C6318">
        <w:rPr>
          <w:i/>
        </w:rPr>
        <w:t xml:space="preserve"> </w:t>
      </w:r>
      <w:r w:rsidR="000C6318">
        <w:t>false positive or false negative.  Whatever exceptions to cognitive impenetrability there may be, they do not</w:t>
      </w:r>
      <w:r w:rsidR="00FD1F31">
        <w:t xml:space="preserve"> </w:t>
      </w:r>
      <w:r w:rsidR="00DD5AF6">
        <w:t>seem</w:t>
      </w:r>
      <w:r w:rsidR="00BF57BE">
        <w:t xml:space="preserve"> </w:t>
      </w:r>
      <w:r w:rsidR="00FC0953">
        <w:t xml:space="preserve">sufficiently </w:t>
      </w:r>
      <w:r w:rsidR="00BF57BE">
        <w:t>p</w:t>
      </w:r>
      <w:r w:rsidR="00FC0953">
        <w:t xml:space="preserve">ervasive </w:t>
      </w:r>
      <w:r w:rsidR="000C6318">
        <w:t>to warrant belie</w:t>
      </w:r>
      <w:r w:rsidR="000B6A7E">
        <w:t>f in the incorrigibility thesis.</w:t>
      </w:r>
    </w:p>
    <w:p w14:paraId="1FBED084" w14:textId="71D9C5A0" w:rsidR="006C42B1" w:rsidRDefault="004448B3" w:rsidP="00F655BD">
      <w:r>
        <w:t xml:space="preserve"> </w:t>
      </w:r>
      <w:r w:rsidR="00373272">
        <w:t xml:space="preserve">Another response on behalf of the incorrigibility thesis </w:t>
      </w:r>
      <w:r w:rsidR="00345526">
        <w:t>would</w:t>
      </w:r>
      <w:r w:rsidR="00373272">
        <w:t xml:space="preserve"> be to hold that some </w:t>
      </w:r>
      <w:r w:rsidR="00212C3C">
        <w:t>concepts</w:t>
      </w:r>
      <w:r w:rsidR="00373272">
        <w:t xml:space="preserve"> are partly </w:t>
      </w:r>
      <w:r w:rsidR="00373272" w:rsidRPr="00345526">
        <w:rPr>
          <w:i/>
        </w:rPr>
        <w:t xml:space="preserve">constituted by </w:t>
      </w:r>
      <w:r w:rsidR="00373272">
        <w:t>sen</w:t>
      </w:r>
      <w:r w:rsidR="00947D30">
        <w:t>sory states</w:t>
      </w:r>
      <w:r w:rsidR="00373272">
        <w:t xml:space="preserve">.  </w:t>
      </w:r>
      <w:r w:rsidR="00DE4590">
        <w:t>A</w:t>
      </w:r>
      <w:r w:rsidR="00E10D4D">
        <w:t xml:space="preserve"> number of philosophers have recently p</w:t>
      </w:r>
      <w:r w:rsidR="00DE4590">
        <w:t xml:space="preserve">osited that there is indeed such a </w:t>
      </w:r>
      <w:r w:rsidR="00E10D4D">
        <w:t>class of concepts—</w:t>
      </w:r>
      <w:r w:rsidR="00E10D4D">
        <w:rPr>
          <w:i/>
        </w:rPr>
        <w:t>phenomenal concepts</w:t>
      </w:r>
      <w:r w:rsidR="00E10D4D">
        <w:t xml:space="preserve">—that are partly constituted by the very sensory states to which they refer </w:t>
      </w:r>
      <w:r w:rsidR="001D3F93">
        <w:fldChar w:fldCharType="begin"/>
      </w:r>
      <w:r w:rsidR="00E234BD">
        <w:instrText xml:space="preserve"> ADDIN EN.CITE &lt;EndNote&gt;&lt;Cite&gt;&lt;Author&gt;Papineau&lt;/Author&gt;&lt;Year&gt;2007&lt;/Year&gt;&lt;RecNum&gt;222&lt;/RecNum&gt;&lt;DisplayText&gt;(Balog, 2012; Papineau, 2007)&lt;/DisplayText&gt;&lt;record&gt;&lt;rec-number&gt;222&lt;/rec-number&gt;&lt;foreign-keys&gt;&lt;key app="EN" db-id="v0vwpaxsertptmes2t5p2228rf5f520wfd5p"&gt;222&lt;/key&gt;&lt;/foreign-keys&gt;&lt;ref-type name="Book Section"&gt;5&lt;/ref-type&gt;&lt;contributors&gt;&lt;authors&gt;&lt;author&gt;Papineau, D.&lt;/author&gt;&lt;/authors&gt;&lt;secondary-authors&gt;&lt;author&gt;Alter, T.&lt;/author&gt;&lt;author&gt;Walter, S.&lt;/author&gt;&lt;/secondary-authors&gt;&lt;/contributors&gt;&lt;titles&gt;&lt;title&gt;Phenomenal and Perceptual Concepts&lt;/title&gt;&lt;secondary-title&gt;Phenomenal Concepts and Phenomenal Knowledge&lt;/secondary-title&gt;&lt;/titles&gt;&lt;dates&gt;&lt;year&gt;2007&lt;/year&gt;&lt;/dates&gt;&lt;pub-location&gt;Oxford&lt;/pub-location&gt;&lt;publisher&gt;Oxford University Press&lt;/publisher&gt;&lt;urls&gt;&lt;/urls&gt;&lt;/record&gt;&lt;/Cite&gt;&lt;Cite&gt;&lt;Author&gt;Balog&lt;/Author&gt;&lt;Year&gt;2012&lt;/Year&gt;&lt;RecNum&gt;729&lt;/RecNum&gt;&lt;record&gt;&lt;rec-number&gt;729&lt;/rec-number&gt;&lt;foreign-keys&gt;&lt;key app="EN" db-id="v0vwpaxsertptmes2t5p2228rf5f520wfd5p"&gt;729&lt;/key&gt;&lt;/foreign-keys&gt;&lt;ref-type name="Book Section"&gt;5&lt;/ref-type&gt;&lt;contributors&gt;&lt;authors&gt;&lt;author&gt;Balog, Katalin&lt;/author&gt;&lt;/authors&gt;&lt;secondary-authors&gt;&lt;author&gt;Gozzano, Simone&lt;/author&gt;&lt;author&gt;Hill, Christopher S.&lt;/author&gt;&lt;/secondary-authors&gt;&lt;/contributors&gt;&lt;titles&gt;&lt;title&gt;Acquaintance and the mind-body problem&lt;/title&gt;&lt;secondary-title&gt;New Perspectives on Type Identity: The Mental and the Physical&lt;/secondary-title&gt;&lt;/titles&gt;&lt;pages&gt;16-42&lt;/pages&gt;&lt;dates&gt;&lt;year&gt;2012&lt;/year&gt;&lt;/dates&gt;&lt;publisher&gt;Cambridge University Press&lt;/publisher&gt;&lt;urls&gt;&lt;/urls&gt;&lt;/record&gt;&lt;/Cite&gt;&lt;/EndNote&gt;</w:instrText>
      </w:r>
      <w:r w:rsidR="001D3F93">
        <w:fldChar w:fldCharType="separate"/>
      </w:r>
      <w:r w:rsidR="00E234BD">
        <w:rPr>
          <w:noProof/>
        </w:rPr>
        <w:t>(Balog, 2012; Papineau, 2007)</w:t>
      </w:r>
      <w:r w:rsidR="001D3F93">
        <w:fldChar w:fldCharType="end"/>
      </w:r>
      <w:r w:rsidR="00E10D4D">
        <w:t xml:space="preserve">.  </w:t>
      </w:r>
      <w:r w:rsidR="00FC0953">
        <w:t xml:space="preserve">A motivation for positing this class of concepts is that </w:t>
      </w:r>
      <w:r w:rsidR="00D91969">
        <w:t>certain sensory experiences seem necessary for having certain beliefs.</w:t>
      </w:r>
      <w:r w:rsidR="00FC0953">
        <w:t xml:space="preserve"> </w:t>
      </w:r>
      <w:r w:rsidR="00D91969">
        <w:t xml:space="preserve"> </w:t>
      </w:r>
      <w:r w:rsidR="00FC0953">
        <w:t xml:space="preserve">For instance, </w:t>
      </w:r>
      <w:r w:rsidR="00D91969">
        <w:t>it may seem that one</w:t>
      </w:r>
      <w:r w:rsidR="00FC0953">
        <w:t xml:space="preserve"> cannot </w:t>
      </w:r>
      <w:r w:rsidR="00D91969">
        <w:t>know what it is like to see red</w:t>
      </w:r>
      <w:r w:rsidR="00FC0953">
        <w:t xml:space="preserve"> if one never has had a sensation of red</w:t>
      </w:r>
      <w:r w:rsidR="00D91969">
        <w:t xml:space="preserve"> </w:t>
      </w:r>
      <w:r w:rsidR="00D91969">
        <w:fldChar w:fldCharType="begin"/>
      </w:r>
      <w:r w:rsidR="002A4269">
        <w:instrText xml:space="preserve"> ADDIN EN.CITE &lt;EndNote&gt;&lt;Cite&gt;&lt;Author&gt;Jackson&lt;/Author&gt;&lt;Year&gt;1982&lt;/Year&gt;&lt;RecNum&gt;289&lt;/RecNum&gt;&lt;DisplayText&gt;(Jackson, 1982)&lt;/DisplayText&gt;&lt;record&gt;&lt;rec-number&gt;289&lt;/rec-number&gt;&lt;foreign-keys&gt;&lt;key app="EN" db-id="v0vwpaxsertptmes2t5p2228rf5f520wfd5p"&gt;289&lt;/key&gt;&lt;/foreign-keys&gt;&lt;ref-type name="Journal Article"&gt;17&lt;/ref-type&gt;&lt;contributors&gt;&lt;authors&gt;&lt;author&gt;Jackson, F.&lt;/author&gt;&lt;/authors&gt;&lt;/contributors&gt;&lt;titles&gt;&lt;title&gt;Epiphenomenal Qualia&lt;/title&gt;&lt;secondary-title&gt;The Philosophical Quarterly&lt;/secondary-title&gt;&lt;/titles&gt;&lt;pages&gt;127-136&lt;/pages&gt;&lt;volume&gt;32&lt;/volume&gt;&lt;number&gt;127&lt;/number&gt;&lt;dates&gt;&lt;year&gt;1982&lt;/year&gt;&lt;/dates&gt;&lt;urls&gt;&lt;/urls&gt;&lt;/record&gt;&lt;/Cite&gt;&lt;/EndNote&gt;</w:instrText>
      </w:r>
      <w:r w:rsidR="00D91969">
        <w:fldChar w:fldCharType="separate"/>
      </w:r>
      <w:r w:rsidR="00D91969">
        <w:rPr>
          <w:noProof/>
        </w:rPr>
        <w:t>(Jackson, 1982)</w:t>
      </w:r>
      <w:r w:rsidR="00D91969">
        <w:fldChar w:fldCharType="end"/>
      </w:r>
      <w:r w:rsidR="00FC0953">
        <w:t xml:space="preserve">. </w:t>
      </w:r>
      <w:r w:rsidR="00FC0953">
        <w:rPr>
          <w:i/>
        </w:rPr>
        <w:t xml:space="preserve"> </w:t>
      </w:r>
      <w:r w:rsidR="00D91969">
        <w:t>Similarly, it could be argued that one can only know what pain is if one has felt a pain.  A possible explanation of this tight coupling of past sensation and current knowledge is that the very concept of pain involves</w:t>
      </w:r>
      <w:r w:rsidR="00212C3C">
        <w:t>, as a proper part,</w:t>
      </w:r>
      <w:r w:rsidR="000C60EB">
        <w:t xml:space="preserve"> </w:t>
      </w:r>
      <w:r w:rsidR="00D91969">
        <w:t xml:space="preserve">a faint </w:t>
      </w:r>
      <w:r w:rsidR="00212C3C">
        <w:t>version</w:t>
      </w:r>
      <w:r w:rsidR="00D91969">
        <w:t xml:space="preserve"> of pain itself</w:t>
      </w:r>
      <w:r w:rsidR="00947D30">
        <w:t xml:space="preserve">—one that </w:t>
      </w:r>
      <w:r w:rsidR="000C60EB">
        <w:t>that can only be summoned by those who have felt pain</w:t>
      </w:r>
      <w:r w:rsidR="00D91969">
        <w:t xml:space="preserve">.  </w:t>
      </w:r>
      <w:r w:rsidR="00E10D4D">
        <w:t xml:space="preserve">If </w:t>
      </w:r>
      <w:r w:rsidR="00D91969">
        <w:t>this were the case</w:t>
      </w:r>
      <w:r w:rsidR="00E10D4D">
        <w:t xml:space="preserve">, it is easy to see how there could not be any false positives:  one could not </w:t>
      </w:r>
      <w:r w:rsidR="00E10D4D">
        <w:rPr>
          <w:i/>
        </w:rPr>
        <w:t xml:space="preserve">think </w:t>
      </w:r>
      <w:r w:rsidR="00E10D4D">
        <w:t xml:space="preserve">that one is in pain without in fact having a pain.  </w:t>
      </w:r>
      <w:r w:rsidR="00212C3C">
        <w:t>(Though, by the same token, it would make</w:t>
      </w:r>
      <w:r w:rsidR="00494277">
        <w:t xml:space="preserve"> all judgments of the form “I am not in pain” false!).  </w:t>
      </w:r>
      <w:r w:rsidR="00DD5AF6">
        <w:t>Yet</w:t>
      </w:r>
      <w:r w:rsidR="00C77BE6">
        <w:t xml:space="preserve"> it seems clear that we </w:t>
      </w:r>
      <w:r w:rsidR="00CD399D">
        <w:t>often</w:t>
      </w:r>
      <w:r w:rsidR="00C77BE6">
        <w:t xml:space="preserve"> think about pains without </w:t>
      </w:r>
      <w:r w:rsidR="00CD399D">
        <w:t xml:space="preserve">experiencing </w:t>
      </w:r>
      <w:r w:rsidR="000C60EB">
        <w:t xml:space="preserve">even a faint </w:t>
      </w:r>
      <w:r w:rsidR="00CD399D">
        <w:t xml:space="preserve">pain, </w:t>
      </w:r>
      <w:r w:rsidR="00AF5DF4">
        <w:t xml:space="preserve">such </w:t>
      </w:r>
      <w:r w:rsidR="00CD399D">
        <w:t>as</w:t>
      </w:r>
      <w:r w:rsidR="006D6736">
        <w:t xml:space="preserve"> </w:t>
      </w:r>
      <w:r w:rsidR="00CD399D">
        <w:t>when reading this paragraph</w:t>
      </w:r>
      <w:r w:rsidR="00AF5DF4">
        <w:t xml:space="preserve"> (</w:t>
      </w:r>
      <w:r w:rsidR="00947D30">
        <w:t>I hope</w:t>
      </w:r>
      <w:r w:rsidR="00AF5DF4">
        <w:t>)</w:t>
      </w:r>
      <w:r w:rsidR="00CD399D">
        <w:t>.  This suggests</w:t>
      </w:r>
      <w:r w:rsidR="006D6736">
        <w:t xml:space="preserve"> </w:t>
      </w:r>
      <w:r w:rsidR="00CD399D">
        <w:t xml:space="preserve">that </w:t>
      </w:r>
      <w:r w:rsidR="006D6736">
        <w:t xml:space="preserve">even if some </w:t>
      </w:r>
      <w:r w:rsidR="00FD1F31">
        <w:t xml:space="preserve">(phenomenal) </w:t>
      </w:r>
      <w:r w:rsidR="006D6736">
        <w:t>concepts of</w:t>
      </w:r>
      <w:r w:rsidR="00C1558A">
        <w:t xml:space="preserve"> pain contain instances of pain</w:t>
      </w:r>
      <w:r w:rsidR="006D6736">
        <w:t xml:space="preserve"> within them, others do not.  </w:t>
      </w:r>
      <w:r w:rsidR="00737C18">
        <w:t xml:space="preserve">Thus, if phenomenal concepts offer a means for defending the incorrigibility thesis, it is only a weaker version </w:t>
      </w:r>
      <w:r w:rsidR="00AD63D9">
        <w:t xml:space="preserve">of the thesis, </w:t>
      </w:r>
      <w:r w:rsidR="00737C18">
        <w:t xml:space="preserve">relativized to beliefs involving </w:t>
      </w:r>
      <w:r w:rsidR="00AD63D9">
        <w:t xml:space="preserve">a special </w:t>
      </w:r>
      <w:r w:rsidR="00AD63D9" w:rsidRPr="00AD63D9">
        <w:rPr>
          <w:i/>
        </w:rPr>
        <w:t>phenomenal concept</w:t>
      </w:r>
      <w:r w:rsidR="00AD63D9">
        <w:t xml:space="preserve"> </w:t>
      </w:r>
      <w:r w:rsidR="00737C18">
        <w:t>of pain.</w:t>
      </w:r>
      <w:r w:rsidR="00084A5D">
        <w:rPr>
          <w:rStyle w:val="FootnoteReference"/>
        </w:rPr>
        <w:footnoteReference w:id="4"/>
      </w:r>
    </w:p>
    <w:p w14:paraId="7652268D" w14:textId="77777777" w:rsidR="004E7ED1" w:rsidRDefault="00863C86" w:rsidP="00F655BD">
      <w:pPr>
        <w:rPr>
          <w:i/>
        </w:rPr>
      </w:pPr>
      <w:r>
        <w:rPr>
          <w:i/>
        </w:rPr>
        <w:t>Pain</w:t>
      </w:r>
      <w:r w:rsidR="000C532F">
        <w:rPr>
          <w:i/>
        </w:rPr>
        <w:t xml:space="preserve"> as assessment-dependent</w:t>
      </w:r>
    </w:p>
    <w:p w14:paraId="489DDDD1" w14:textId="08C83AA4" w:rsidR="00405848" w:rsidRDefault="006A44EC" w:rsidP="00F655BD">
      <w:r>
        <w:t xml:space="preserve">In what remains of this essay I will </w:t>
      </w:r>
      <w:r w:rsidR="000C60EB">
        <w:t>consider</w:t>
      </w:r>
      <w:r>
        <w:t xml:space="preserve"> a different sort of </w:t>
      </w:r>
      <w:r w:rsidR="00863C86">
        <w:t>argument</w:t>
      </w:r>
      <w:r w:rsidR="006A2ED8">
        <w:t xml:space="preserve"> that,</w:t>
      </w:r>
      <w:r w:rsidR="002F420B">
        <w:t xml:space="preserve"> in my view, </w:t>
      </w:r>
      <w:r>
        <w:t>offers</w:t>
      </w:r>
      <w:r w:rsidR="002F420B">
        <w:t xml:space="preserve"> the best case for the incorrigibility thesis</w:t>
      </w:r>
      <w:r>
        <w:t xml:space="preserve">.  </w:t>
      </w:r>
      <w:r w:rsidR="00DE49B1">
        <w:t>The statement</w:t>
      </w:r>
      <w:r w:rsidR="002F30B9">
        <w:t xml:space="preserve"> </w:t>
      </w:r>
      <w:r w:rsidR="001F5B02">
        <w:t>‘</w:t>
      </w:r>
      <w:r w:rsidR="002450C1">
        <w:t>I am in pain</w:t>
      </w:r>
      <w:r w:rsidR="001F5B02">
        <w:t>’</w:t>
      </w:r>
      <w:r w:rsidR="00F570C7">
        <w:t xml:space="preserve"> </w:t>
      </w:r>
      <w:r w:rsidR="00DE49B1">
        <w:t xml:space="preserve">typically </w:t>
      </w:r>
      <w:r w:rsidR="002F30B9">
        <w:t>function</w:t>
      </w:r>
      <w:r w:rsidR="00DE49B1">
        <w:t>s</w:t>
      </w:r>
      <w:r w:rsidR="002F30B9">
        <w:t xml:space="preserve"> to </w:t>
      </w:r>
      <w:r w:rsidR="00863C86">
        <w:t xml:space="preserve">alert </w:t>
      </w:r>
      <w:r w:rsidR="00642B2A">
        <w:t>listeners</w:t>
      </w:r>
      <w:r w:rsidR="00863C86">
        <w:t xml:space="preserve"> to the occurrence of </w:t>
      </w:r>
      <w:r w:rsidR="002450C1">
        <w:t>a sensory state</w:t>
      </w:r>
      <w:r w:rsidR="00863C86">
        <w:t xml:space="preserve"> in the speaker</w:t>
      </w:r>
      <w:r w:rsidR="00642B2A">
        <w:t xml:space="preserve">—one </w:t>
      </w:r>
      <w:r w:rsidR="00863C86">
        <w:t>that the speaker finds to be unpleasant.</w:t>
      </w:r>
      <w:r w:rsidR="00F570C7">
        <w:t xml:space="preserve">  </w:t>
      </w:r>
      <w:r w:rsidR="00DE49B1">
        <w:t xml:space="preserve">If we were to give this </w:t>
      </w:r>
      <w:r w:rsidR="00533D08">
        <w:t>t</w:t>
      </w:r>
      <w:r w:rsidR="001F5B02">
        <w:t>ypical function</w:t>
      </w:r>
      <w:r w:rsidR="009C0DD4">
        <w:t xml:space="preserve"> </w:t>
      </w:r>
      <w:r w:rsidR="00642B2A">
        <w:t xml:space="preserve">of such statements </w:t>
      </w:r>
      <w:r w:rsidR="009C0DD4">
        <w:t>pride of place, we might go so far as to say that</w:t>
      </w:r>
      <w:r w:rsidR="002F420B">
        <w:t xml:space="preserve"> </w:t>
      </w:r>
      <w:r w:rsidR="001F5B02">
        <w:t>‘</w:t>
      </w:r>
      <w:r w:rsidR="00F570C7">
        <w:t>I am in pain</w:t>
      </w:r>
      <w:r w:rsidR="001F5B02">
        <w:t>’</w:t>
      </w:r>
      <w:r w:rsidR="00F570C7">
        <w:t xml:space="preserve"> </w:t>
      </w:r>
      <w:r w:rsidR="009C0DD4">
        <w:t>is an</w:t>
      </w:r>
      <w:r w:rsidR="002F30B9">
        <w:t xml:space="preserve"> </w:t>
      </w:r>
      <w:r w:rsidR="006610A3">
        <w:t>ap</w:t>
      </w:r>
      <w:r w:rsidR="009C0DD4">
        <w:t>propriate statement</w:t>
      </w:r>
      <w:r w:rsidR="006610A3">
        <w:t xml:space="preserve"> </w:t>
      </w:r>
      <w:r w:rsidR="009C0DD4">
        <w:t xml:space="preserve">when and only when </w:t>
      </w:r>
      <w:r w:rsidR="00F570C7">
        <w:t xml:space="preserve">the speaker is </w:t>
      </w:r>
      <w:r w:rsidR="002450C1">
        <w:t>in a sensory state</w:t>
      </w:r>
      <w:r w:rsidR="00F570C7">
        <w:t xml:space="preserve"> </w:t>
      </w:r>
      <w:r w:rsidR="00533D08">
        <w:t xml:space="preserve">that </w:t>
      </w:r>
      <w:r w:rsidR="001F5B02">
        <w:t>s</w:t>
      </w:r>
      <w:r w:rsidR="00F570C7">
        <w:t>he deems</w:t>
      </w:r>
      <w:r w:rsidR="002450C1">
        <w:t xml:space="preserve"> to be</w:t>
      </w:r>
      <w:r w:rsidR="00F570C7">
        <w:t xml:space="preserve"> unpleasant.  But then,</w:t>
      </w:r>
      <w:r w:rsidR="002F30B9">
        <w:t xml:space="preserve"> what else is it to </w:t>
      </w:r>
      <w:r w:rsidR="002450C1">
        <w:t xml:space="preserve">be in a sensory state </w:t>
      </w:r>
      <w:r w:rsidR="009C0DD4">
        <w:t>we</w:t>
      </w:r>
      <w:r w:rsidR="00F570C7">
        <w:t xml:space="preserve"> deem to be unpleasant </w:t>
      </w:r>
      <w:r w:rsidR="002F30B9">
        <w:t xml:space="preserve">than to </w:t>
      </w:r>
      <w:r w:rsidR="00F570C7">
        <w:t>believ</w:t>
      </w:r>
      <w:r w:rsidR="002F30B9">
        <w:t xml:space="preserve">e, of one of </w:t>
      </w:r>
      <w:r w:rsidR="009C0DD4">
        <w:t>our</w:t>
      </w:r>
      <w:r w:rsidR="002F30B9">
        <w:t xml:space="preserve"> </w:t>
      </w:r>
      <w:r w:rsidR="00752A37">
        <w:t>sensory states</w:t>
      </w:r>
      <w:r w:rsidR="002F30B9">
        <w:t xml:space="preserve">, that it is </w:t>
      </w:r>
      <w:r w:rsidR="00171DA3">
        <w:t>a pain</w:t>
      </w:r>
      <w:r w:rsidR="003A5B00">
        <w:t xml:space="preserve">? </w:t>
      </w:r>
      <w:r w:rsidR="00184CCD">
        <w:t xml:space="preserve"> </w:t>
      </w:r>
      <w:r w:rsidR="009C0DD4">
        <w:t>If the two come to the same thing, then o</w:t>
      </w:r>
      <w:r w:rsidR="0024284B">
        <w:t xml:space="preserve">ur beliefs that we are in pain </w:t>
      </w:r>
      <w:r w:rsidR="009C0DD4">
        <w:t>are</w:t>
      </w:r>
      <w:r w:rsidR="0024284B">
        <w:t xml:space="preserve"> infallible just because they themselves make it true that we deem ourselves to be in an unpleasant </w:t>
      </w:r>
      <w:r w:rsidR="002450C1">
        <w:t xml:space="preserve">sensory </w:t>
      </w:r>
      <w:r w:rsidR="0024284B">
        <w:t xml:space="preserve">state.  The idea here is that, while we are always </w:t>
      </w:r>
      <w:r w:rsidR="002450C1">
        <w:t>in sensory states</w:t>
      </w:r>
      <w:r w:rsidR="00CC312D">
        <w:t xml:space="preserve"> </w:t>
      </w:r>
      <w:r w:rsidR="0024284B">
        <w:t xml:space="preserve">of various kinds, we are only having a </w:t>
      </w:r>
      <w:r w:rsidR="0024284B">
        <w:rPr>
          <w:i/>
        </w:rPr>
        <w:t xml:space="preserve">pain </w:t>
      </w:r>
      <w:r w:rsidR="0024284B">
        <w:t xml:space="preserve">when we judge one of those </w:t>
      </w:r>
      <w:r w:rsidR="002450C1">
        <w:t>states</w:t>
      </w:r>
      <w:r w:rsidR="0024284B">
        <w:t xml:space="preserve"> to be unple</w:t>
      </w:r>
      <w:r w:rsidR="002450C1">
        <w:t xml:space="preserve">asant.  </w:t>
      </w:r>
      <w:r w:rsidR="00CC312D">
        <w:lastRenderedPageBreak/>
        <w:t>A natural</w:t>
      </w:r>
      <w:r w:rsidR="0024284B">
        <w:t xml:space="preserve"> corollary would be</w:t>
      </w:r>
      <w:r w:rsidR="00CC312D">
        <w:t xml:space="preserve"> that, whenever</w:t>
      </w:r>
      <w:r w:rsidR="0024284B">
        <w:t xml:space="preserve"> we do </w:t>
      </w:r>
      <w:r w:rsidR="0024284B" w:rsidRPr="001F5B02">
        <w:rPr>
          <w:i/>
        </w:rPr>
        <w:t>not</w:t>
      </w:r>
      <w:r w:rsidR="0024284B">
        <w:t xml:space="preserve"> judge </w:t>
      </w:r>
      <w:r w:rsidR="00CC312D">
        <w:t xml:space="preserve">one of our </w:t>
      </w:r>
      <w:r w:rsidR="00744CFE">
        <w:t>sensory states</w:t>
      </w:r>
      <w:r w:rsidR="00CC312D">
        <w:t xml:space="preserve"> </w:t>
      </w:r>
      <w:r w:rsidR="002450C1">
        <w:t>to be unpleasant</w:t>
      </w:r>
      <w:r w:rsidR="00744CFE">
        <w:t>,</w:t>
      </w:r>
      <w:r w:rsidR="00AF7F54">
        <w:t xml:space="preserve"> we are </w:t>
      </w:r>
      <w:r w:rsidR="00CC312D">
        <w:rPr>
          <w:i/>
        </w:rPr>
        <w:t xml:space="preserve">ipso facto </w:t>
      </w:r>
      <w:r w:rsidR="00CC312D">
        <w:t xml:space="preserve">not </w:t>
      </w:r>
      <w:r w:rsidR="00AF7F54">
        <w:t xml:space="preserve">having </w:t>
      </w:r>
      <w:r w:rsidR="00CC312D">
        <w:t>a pain</w:t>
      </w:r>
      <w:r w:rsidR="0024284B">
        <w:t xml:space="preserve">.  </w:t>
      </w:r>
      <w:r w:rsidR="00752A37">
        <w:t xml:space="preserve">(We can remain neutral on whether the person judges the unpleasant sensory state to be located in a body part—as in T-pains—or whether she judges it to be in his mind or brain—as in S-pains.)  </w:t>
      </w:r>
      <w:r w:rsidR="00C6054B">
        <w:t xml:space="preserve">Note that I am distinguishing between </w:t>
      </w:r>
      <w:r w:rsidR="002450C1">
        <w:t>sensory state</w:t>
      </w:r>
      <w:r w:rsidR="00752A37">
        <w:t>s</w:t>
      </w:r>
      <w:r w:rsidR="00C6054B">
        <w:t xml:space="preserve"> that </w:t>
      </w:r>
      <w:r w:rsidR="00752A37">
        <w:t>are</w:t>
      </w:r>
      <w:r w:rsidR="00C6054B">
        <w:t xml:space="preserve"> </w:t>
      </w:r>
      <w:r w:rsidR="00C6054B" w:rsidRPr="00C6054B">
        <w:rPr>
          <w:i/>
        </w:rPr>
        <w:t>intrinsically</w:t>
      </w:r>
      <w:r w:rsidR="00C6054B">
        <w:t xml:space="preserve"> unpleasant—if such are possible—and those which are </w:t>
      </w:r>
      <w:r w:rsidR="00C6054B">
        <w:rPr>
          <w:i/>
        </w:rPr>
        <w:t xml:space="preserve">believed </w:t>
      </w:r>
      <w:r w:rsidR="00C6054B">
        <w:t xml:space="preserve">to be unpleasant.  The idea being considered is that simply </w:t>
      </w:r>
      <w:r w:rsidR="002450C1">
        <w:t>being in a sensory state</w:t>
      </w:r>
      <w:r w:rsidR="00C6054B">
        <w:t xml:space="preserve"> one </w:t>
      </w:r>
      <w:r w:rsidR="00C6054B" w:rsidRPr="00C6054B">
        <w:rPr>
          <w:i/>
        </w:rPr>
        <w:t>believes to be</w:t>
      </w:r>
      <w:r w:rsidR="00C6054B">
        <w:t xml:space="preserve"> unpleasant is necessary and sufficient for having a pain.  If</w:t>
      </w:r>
      <w:r w:rsidR="00642B2A">
        <w:t xml:space="preserve"> pains</w:t>
      </w:r>
      <w:r w:rsidR="00C6054B">
        <w:t xml:space="preserve"> were</w:t>
      </w:r>
      <w:r w:rsidR="00642B2A">
        <w:t xml:space="preserve"> assessment-dependent in this </w:t>
      </w:r>
      <w:r w:rsidR="001B7342">
        <w:t>manner</w:t>
      </w:r>
      <w:r w:rsidR="00642B2A">
        <w:t>, we</w:t>
      </w:r>
      <w:r w:rsidR="00405848">
        <w:t xml:space="preserve"> </w:t>
      </w:r>
      <w:r w:rsidR="00C6054B">
        <w:t>would</w:t>
      </w:r>
      <w:r w:rsidR="00405848">
        <w:t xml:space="preserve"> avoid both false positives and false negatives. </w:t>
      </w:r>
    </w:p>
    <w:p w14:paraId="6B5378A9" w14:textId="39D56678" w:rsidR="00DE23A8" w:rsidRDefault="00171DA3" w:rsidP="00F655BD">
      <w:r>
        <w:t xml:space="preserve">An immediate objection </w:t>
      </w:r>
      <w:r w:rsidR="00AF7F54">
        <w:t xml:space="preserve">is </w:t>
      </w:r>
      <w:r>
        <w:t xml:space="preserve">that </w:t>
      </w:r>
      <w:r w:rsidR="00AF7F54">
        <w:t xml:space="preserve">‘I am in pain’ </w:t>
      </w:r>
      <w:r w:rsidR="00744CFE">
        <w:t xml:space="preserve">simply </w:t>
      </w:r>
      <w:r w:rsidR="00AF7F54">
        <w:t xml:space="preserve">does </w:t>
      </w:r>
      <w:r>
        <w:t xml:space="preserve">not </w:t>
      </w:r>
      <w:r w:rsidR="00B10071">
        <w:t>mean the same thing as</w:t>
      </w:r>
      <w:r w:rsidR="00744CFE">
        <w:t xml:space="preserve"> ‘I am in a sensory state </w:t>
      </w:r>
      <w:r>
        <w:t xml:space="preserve">that </w:t>
      </w:r>
      <w:r w:rsidR="00752A37">
        <w:t>is</w:t>
      </w:r>
      <w:r>
        <w:t xml:space="preserve"> unpleasant.’  </w:t>
      </w:r>
      <w:r w:rsidR="00110482">
        <w:t>T</w:t>
      </w:r>
      <w:r>
        <w:t>he latter</w:t>
      </w:r>
      <w:r w:rsidR="002F420B">
        <w:t xml:space="preserve"> </w:t>
      </w:r>
      <w:r>
        <w:t xml:space="preserve">might be true when one feels nausea, </w:t>
      </w:r>
      <w:r w:rsidR="00DF3EEA">
        <w:t xml:space="preserve">for instance, </w:t>
      </w:r>
      <w:r>
        <w:t xml:space="preserve">but no pain.  </w:t>
      </w:r>
      <w:r w:rsidR="00DF3EEA">
        <w:t>Yet here</w:t>
      </w:r>
      <w:r w:rsidR="00744CFE">
        <w:t xml:space="preserve"> the defender of the incorrigibility thesis </w:t>
      </w:r>
      <w:r w:rsidR="00DF3EEA">
        <w:t>can</w:t>
      </w:r>
      <w:r w:rsidR="00465BEE">
        <w:t xml:space="preserve"> maintain</w:t>
      </w:r>
      <w:r w:rsidR="00744CFE">
        <w:t xml:space="preserve"> that </w:t>
      </w:r>
      <w:r w:rsidR="001B7342">
        <w:t xml:space="preserve">unpleasant </w:t>
      </w:r>
      <w:r w:rsidR="00744CFE">
        <w:t>states such as nausea are indeed</w:t>
      </w:r>
      <w:r w:rsidR="00DF3EEA">
        <w:t xml:space="preserve"> particular</w:t>
      </w:r>
      <w:r w:rsidR="00744CFE">
        <w:t xml:space="preserve"> </w:t>
      </w:r>
      <w:r w:rsidR="00744CFE" w:rsidRPr="00164FCD">
        <w:rPr>
          <w:i/>
        </w:rPr>
        <w:t>kinds</w:t>
      </w:r>
      <w:r w:rsidR="00744CFE">
        <w:t xml:space="preserve"> of pain</w:t>
      </w:r>
      <w:r w:rsidR="00110482">
        <w:t xml:space="preserve">.  </w:t>
      </w:r>
      <w:r w:rsidR="000F03A2">
        <w:t xml:space="preserve">After all, </w:t>
      </w:r>
      <w:r w:rsidR="00DF3EEA">
        <w:t xml:space="preserve">it is uncontroversial that there are </w:t>
      </w:r>
      <w:r w:rsidR="000F03A2">
        <w:t>pain</w:t>
      </w:r>
      <w:r w:rsidR="00DF3EEA">
        <w:t>s with differing sensory characters</w:t>
      </w:r>
      <w:r w:rsidR="000F03A2">
        <w:t xml:space="preserve">—from throbbing pains, to sharp </w:t>
      </w:r>
      <w:r w:rsidR="00DF3EEA">
        <w:t xml:space="preserve">pains, to </w:t>
      </w:r>
      <w:r w:rsidR="00C30CB5">
        <w:t>burning</w:t>
      </w:r>
      <w:r w:rsidR="00DF3EEA">
        <w:t xml:space="preserve"> pains, and so on.  </w:t>
      </w:r>
      <w:r w:rsidR="00C30CB5">
        <w:t xml:space="preserve">It is not clear that they share any robust characteristics over and above being unpleasant and indicative of unfavorable internal conditions.  Nausea shares those features.  </w:t>
      </w:r>
      <w:r w:rsidR="00DF3EEA">
        <w:t xml:space="preserve">So </w:t>
      </w:r>
      <w:r w:rsidR="000F03A2">
        <w:t xml:space="preserve">there is no obvious </w:t>
      </w:r>
      <w:r w:rsidR="00164FCD">
        <w:t>barrier</w:t>
      </w:r>
      <w:r w:rsidR="000F03A2">
        <w:t xml:space="preserve"> to includ</w:t>
      </w:r>
      <w:r w:rsidR="00164FCD">
        <w:t xml:space="preserve">ing </w:t>
      </w:r>
      <w:r w:rsidR="000F03A2">
        <w:t>nausea</w:t>
      </w:r>
      <w:r w:rsidR="00C30CB5">
        <w:t xml:space="preserve"> among them</w:t>
      </w:r>
      <w:r w:rsidR="000F03A2">
        <w:t xml:space="preserve">.  (See also Chapter 15, where various unpleasant emotions are argued to be pains).  </w:t>
      </w:r>
      <w:r w:rsidR="006A1D49">
        <w:t>On this approach</w:t>
      </w:r>
      <w:r w:rsidR="006D4DD3">
        <w:t>, two</w:t>
      </w:r>
      <w:r w:rsidR="007D7E7D">
        <w:t xml:space="preserve"> people could conceivably be </w:t>
      </w:r>
      <w:r w:rsidR="000F03A2">
        <w:t>in sensory states that are intrinsically the same,</w:t>
      </w:r>
      <w:r w:rsidR="007D7E7D">
        <w:t xml:space="preserve"> while only one of them is </w:t>
      </w:r>
      <w:r w:rsidR="00C84916">
        <w:t xml:space="preserve">in pain </w:t>
      </w:r>
      <w:r w:rsidR="00C84916">
        <w:rPr>
          <w:i/>
        </w:rPr>
        <w:t>just because</w:t>
      </w:r>
      <w:r w:rsidR="00C84916">
        <w:t xml:space="preserve"> </w:t>
      </w:r>
      <w:r w:rsidR="00BD0B35">
        <w:t xml:space="preserve">only </w:t>
      </w:r>
      <w:r w:rsidR="00C84916">
        <w:t xml:space="preserve">he judges </w:t>
      </w:r>
      <w:r w:rsidR="00DE23A8">
        <w:t>the</w:t>
      </w:r>
      <w:r w:rsidR="00C84916">
        <w:t xml:space="preserve"> </w:t>
      </w:r>
      <w:r w:rsidR="000F03A2">
        <w:t>sensory state</w:t>
      </w:r>
      <w:r w:rsidR="00C84916">
        <w:t xml:space="preserve"> to be unpleasant</w:t>
      </w:r>
      <w:r w:rsidR="00132328">
        <w:t>.</w:t>
      </w:r>
      <w:r w:rsidR="00465BEE">
        <w:rPr>
          <w:rStyle w:val="FootnoteReference"/>
        </w:rPr>
        <w:footnoteReference w:id="5"/>
      </w:r>
      <w:r w:rsidR="007D45F8">
        <w:t xml:space="preserve">  </w:t>
      </w:r>
      <w:r w:rsidR="00C84916">
        <w:t xml:space="preserve"> </w:t>
      </w:r>
    </w:p>
    <w:p w14:paraId="5BAC5BF1" w14:textId="7ECC028B" w:rsidR="0017005C" w:rsidRDefault="00C30CB5" w:rsidP="00F655BD">
      <w:r>
        <w:t>But why</w:t>
      </w:r>
      <w:r w:rsidR="00A41E9B">
        <w:t xml:space="preserve"> should a negative assessment have any bearing on what type of </w:t>
      </w:r>
      <w:r w:rsidR="007D45F8">
        <w:t>mental state</w:t>
      </w:r>
      <w:r w:rsidR="00A41E9B">
        <w:t xml:space="preserve"> is in fact occurring?  </w:t>
      </w:r>
      <w:r w:rsidR="003B1B1C">
        <w:t>In most cases, it would</w:t>
      </w:r>
      <w:r w:rsidR="0048521F">
        <w:t xml:space="preserve"> indeed</w:t>
      </w:r>
      <w:r w:rsidR="003B1B1C">
        <w:t xml:space="preserve"> be a mistake to type a </w:t>
      </w:r>
      <w:r w:rsidR="00240ED6">
        <w:t>sensory</w:t>
      </w:r>
      <w:r w:rsidR="00AF280D">
        <w:t xml:space="preserve"> state</w:t>
      </w:r>
      <w:r w:rsidR="0048521F">
        <w:t xml:space="preserve"> according to how it is appraised.  </w:t>
      </w:r>
      <w:r w:rsidR="00AF280D">
        <w:t xml:space="preserve">And yet, </w:t>
      </w:r>
      <w:r>
        <w:t>bearin</w:t>
      </w:r>
      <w:r w:rsidR="00B72E50">
        <w:t>g in mind the typical function</w:t>
      </w:r>
      <w:r>
        <w:t xml:space="preserve"> of statements like ‘I am in pain’, </w:t>
      </w:r>
      <w:r w:rsidR="00AF280D">
        <w:t>there is</w:t>
      </w:r>
      <w:r w:rsidR="000F056D">
        <w:t xml:space="preserve"> some reason to think that this kind of judgment-dependency makes sense </w:t>
      </w:r>
      <w:r>
        <w:t>for</w:t>
      </w:r>
      <w:r w:rsidR="000F056D">
        <w:t xml:space="preserve"> </w:t>
      </w:r>
      <w:r w:rsidR="0048521F">
        <w:t xml:space="preserve">pain.  </w:t>
      </w:r>
      <w:r w:rsidR="001B7342">
        <w:t>Consider</w:t>
      </w:r>
      <w:r w:rsidR="00AF280D">
        <w:t xml:space="preserve"> a </w:t>
      </w:r>
      <w:r w:rsidR="0035701F">
        <w:t>favorite example of the British Empiricists</w:t>
      </w:r>
      <w:r w:rsidR="00AF280D">
        <w:t xml:space="preserve">:  as we move our hand closer to an open fire, the pleasant sensation of warmth gradually shifts to a </w:t>
      </w:r>
      <w:r w:rsidR="00752A37">
        <w:t>feeling</w:t>
      </w:r>
      <w:r w:rsidR="00AF280D">
        <w:t xml:space="preserve"> of pain.  </w:t>
      </w:r>
      <w:r w:rsidR="005F1F83">
        <w:t>Plausibly, two</w:t>
      </w:r>
      <w:r w:rsidR="00AF280D">
        <w:t xml:space="preserve"> people </w:t>
      </w:r>
      <w:r w:rsidR="005F1F83">
        <w:t>approaching the fire in</w:t>
      </w:r>
      <w:r w:rsidR="00D761D7">
        <w:t xml:space="preserve"> unison</w:t>
      </w:r>
      <w:r w:rsidR="00AF280D">
        <w:t xml:space="preserve"> might</w:t>
      </w:r>
      <w:r w:rsidR="0017005C">
        <w:t xml:space="preserve"> judge themselves to be in pain </w:t>
      </w:r>
      <w:r w:rsidR="00AF280D">
        <w:t xml:space="preserve">at different times, even if they were at each instant </w:t>
      </w:r>
      <w:r w:rsidR="0017005C">
        <w:t>in</w:t>
      </w:r>
      <w:r w:rsidR="00AF280D">
        <w:t xml:space="preserve"> sensory</w:t>
      </w:r>
      <w:r w:rsidR="007D45F8">
        <w:t>-</w:t>
      </w:r>
      <w:r w:rsidR="00B72E50">
        <w:t>discriminative</w:t>
      </w:r>
      <w:r w:rsidR="00AF280D">
        <w:t xml:space="preserve"> states</w:t>
      </w:r>
      <w:r w:rsidR="00B72E50">
        <w:t xml:space="preserve"> of the same kind</w:t>
      </w:r>
      <w:r w:rsidR="00AF280D">
        <w:t xml:space="preserve">.  </w:t>
      </w:r>
      <w:r w:rsidR="005F1F83">
        <w:t xml:space="preserve">What one </w:t>
      </w:r>
      <w:r w:rsidR="00AE4346">
        <w:t>takes to be</w:t>
      </w:r>
      <w:r w:rsidR="005F1F83">
        <w:t xml:space="preserve"> </w:t>
      </w:r>
      <w:r w:rsidR="009961BF">
        <w:t xml:space="preserve">painful the other </w:t>
      </w:r>
      <w:r>
        <w:t xml:space="preserve">still </w:t>
      </w:r>
      <w:r w:rsidR="009961BF">
        <w:t xml:space="preserve">finds </w:t>
      </w:r>
      <w:r w:rsidR="005F1F83">
        <w:t>toasty</w:t>
      </w:r>
      <w:r w:rsidR="009961BF">
        <w:t xml:space="preserve"> and soothing</w:t>
      </w:r>
      <w:r w:rsidR="005F1F83">
        <w:t xml:space="preserve">.  </w:t>
      </w:r>
      <w:r w:rsidR="00533D08">
        <w:t>In short,</w:t>
      </w:r>
      <w:r w:rsidR="00DD1429">
        <w:t xml:space="preserve"> they disagree about whether their current </w:t>
      </w:r>
      <w:r w:rsidR="00752A37">
        <w:t>sensory state</w:t>
      </w:r>
      <w:r w:rsidR="00DD1429">
        <w:t xml:space="preserve"> is one of pain.  </w:t>
      </w:r>
      <w:r w:rsidR="001B7342">
        <w:t>W</w:t>
      </w:r>
      <w:r w:rsidR="0017005C">
        <w:t>hen such a disagreement occurs, one response would</w:t>
      </w:r>
      <w:r w:rsidR="009961BF">
        <w:t xml:space="preserve"> be to hold that only one person </w:t>
      </w:r>
      <w:r w:rsidR="00752A37">
        <w:t xml:space="preserve">can be </w:t>
      </w:r>
      <w:r w:rsidR="00AF280D">
        <w:t>correct</w:t>
      </w:r>
      <w:r w:rsidR="001A6488">
        <w:t xml:space="preserve">.  But a more </w:t>
      </w:r>
      <w:r w:rsidR="00AF280D">
        <w:t xml:space="preserve">natural response </w:t>
      </w:r>
      <w:r w:rsidR="001A6488">
        <w:t>might</w:t>
      </w:r>
      <w:r w:rsidR="005F1F83">
        <w:t xml:space="preserve"> be</w:t>
      </w:r>
      <w:r w:rsidR="00AF280D">
        <w:t xml:space="preserve"> to allow </w:t>
      </w:r>
      <w:r w:rsidR="001B7342">
        <w:t xml:space="preserve">that one may indeed be in pain </w:t>
      </w:r>
      <w:r w:rsidR="00AE4346">
        <w:t>when the</w:t>
      </w:r>
      <w:r w:rsidR="001B7342">
        <w:t xml:space="preserve"> other</w:t>
      </w:r>
      <w:r w:rsidR="00AE4346">
        <w:t xml:space="preserve"> is not</w:t>
      </w:r>
      <w:r w:rsidR="00AF280D">
        <w:t xml:space="preserve">, </w:t>
      </w:r>
      <w:r w:rsidR="0017005C">
        <w:t xml:space="preserve">simply </w:t>
      </w:r>
      <w:r w:rsidR="00AF280D">
        <w:t xml:space="preserve">because </w:t>
      </w:r>
      <w:r w:rsidR="0017005C">
        <w:t>a</w:t>
      </w:r>
      <w:r w:rsidR="00AF280D">
        <w:t xml:space="preserve"> sensory state</w:t>
      </w:r>
      <w:r w:rsidR="0017005C">
        <w:t xml:space="preserve"> i</w:t>
      </w:r>
      <w:r w:rsidR="0035701F">
        <w:t>s</w:t>
      </w:r>
      <w:r w:rsidR="0017005C">
        <w:t xml:space="preserve"> only a pain once it is judged to </w:t>
      </w:r>
      <w:r w:rsidR="00752A37">
        <w:t xml:space="preserve">be unpleasant.  </w:t>
      </w:r>
      <w:r w:rsidR="00B72E50">
        <w:t>After all,</w:t>
      </w:r>
      <w:r w:rsidR="005F1F83">
        <w:t xml:space="preserve"> there is not obviously any </w:t>
      </w:r>
      <w:r w:rsidR="005F1F83">
        <w:rPr>
          <w:i/>
        </w:rPr>
        <w:t xml:space="preserve">less </w:t>
      </w:r>
      <w:r w:rsidR="0017005C">
        <w:t xml:space="preserve">arbitrary </w:t>
      </w:r>
      <w:r w:rsidR="009961BF">
        <w:t>boundary</w:t>
      </w:r>
      <w:r w:rsidR="0017005C">
        <w:t xml:space="preserve"> </w:t>
      </w:r>
      <w:r w:rsidR="001B7342">
        <w:t xml:space="preserve">on this spectrum </w:t>
      </w:r>
      <w:r w:rsidR="0017005C">
        <w:t>between</w:t>
      </w:r>
      <w:r w:rsidR="001B7342">
        <w:t xml:space="preserve"> what is</w:t>
      </w:r>
      <w:r w:rsidR="0017005C">
        <w:t xml:space="preserve"> pain and</w:t>
      </w:r>
      <w:r w:rsidR="001B7342">
        <w:t xml:space="preserve"> what is not</w:t>
      </w:r>
      <w:r w:rsidR="0017005C">
        <w:t>.</w:t>
      </w:r>
      <w:r w:rsidR="00601373">
        <w:t xml:space="preserve">  </w:t>
      </w:r>
      <w:r w:rsidR="0035701F">
        <w:t xml:space="preserve">And </w:t>
      </w:r>
      <w:r w:rsidR="005F1F83">
        <w:t>drawing the line in this way</w:t>
      </w:r>
      <w:r w:rsidR="00D10851">
        <w:t xml:space="preserve"> meshes with the independently plausible idea that </w:t>
      </w:r>
      <w:r w:rsidR="0035701F">
        <w:t>the central</w:t>
      </w:r>
      <w:r w:rsidR="00601373">
        <w:t xml:space="preserve"> role of</w:t>
      </w:r>
      <w:r w:rsidR="00B72E50">
        <w:t xml:space="preserve"> the word</w:t>
      </w:r>
      <w:r w:rsidR="00601373">
        <w:t xml:space="preserve"> ‘pain’ in public discourse </w:t>
      </w:r>
      <w:r w:rsidR="0035701F">
        <w:t xml:space="preserve">is </w:t>
      </w:r>
      <w:r w:rsidR="00D75120">
        <w:t xml:space="preserve">to </w:t>
      </w:r>
      <w:r w:rsidR="00601373">
        <w:t>mark those</w:t>
      </w:r>
      <w:r w:rsidR="00D75120">
        <w:t>, and only those, sensory states that</w:t>
      </w:r>
      <w:r w:rsidR="00601373">
        <w:t xml:space="preserve"> the subject finds to be unpleasant.</w:t>
      </w:r>
      <w:r w:rsidR="00D3537A">
        <w:t xml:space="preserve">  </w:t>
      </w:r>
      <w:r>
        <w:t>T</w:t>
      </w:r>
      <w:r w:rsidR="00AE4346">
        <w:t>hat</w:t>
      </w:r>
      <w:r w:rsidR="00D10851">
        <w:t xml:space="preserve"> ‘pain’ plays this</w:t>
      </w:r>
      <w:r w:rsidR="005F1F83">
        <w:t xml:space="preserve"> communicative role</w:t>
      </w:r>
      <w:r w:rsidR="00D10851">
        <w:t xml:space="preserve"> explains w</w:t>
      </w:r>
      <w:r w:rsidR="00D3537A">
        <w:t xml:space="preserve">hy we </w:t>
      </w:r>
      <w:r w:rsidR="00D3537A">
        <w:rPr>
          <w:i/>
        </w:rPr>
        <w:t xml:space="preserve">care </w:t>
      </w:r>
      <w:r w:rsidR="00D3537A">
        <w:t xml:space="preserve">that a person is in pain in a way that goes beyond our interest in </w:t>
      </w:r>
      <w:r w:rsidR="00D10851">
        <w:t>her</w:t>
      </w:r>
      <w:r w:rsidR="00D3537A">
        <w:t xml:space="preserve"> sensory states generally.</w:t>
      </w:r>
      <w:r w:rsidR="00601373">
        <w:t xml:space="preserve">  </w:t>
      </w:r>
      <w:r w:rsidR="0017005C">
        <w:t xml:space="preserve">  </w:t>
      </w:r>
    </w:p>
    <w:p w14:paraId="1019713B" w14:textId="333B0CFB" w:rsidR="008941D9" w:rsidRPr="00E834A8" w:rsidRDefault="008941D9" w:rsidP="00F655BD">
      <w:r>
        <w:t xml:space="preserve">In response, one </w:t>
      </w:r>
      <w:r w:rsidR="005716AE">
        <w:t xml:space="preserve">may insist that it still </w:t>
      </w:r>
      <w:r w:rsidR="004E0710">
        <w:t>seems coherent to suppose that someone migh</w:t>
      </w:r>
      <w:r w:rsidR="00411ED2">
        <w:t>t believe himself to be in pain</w:t>
      </w:r>
      <w:r w:rsidR="004E0710">
        <w:t xml:space="preserve"> </w:t>
      </w:r>
      <w:r w:rsidR="00411ED2">
        <w:t>and</w:t>
      </w:r>
      <w:r w:rsidR="004E0710">
        <w:t xml:space="preserve"> </w:t>
      </w:r>
      <w:r w:rsidR="00A26528">
        <w:t>fully</w:t>
      </w:r>
      <w:r w:rsidR="004E0710">
        <w:t xml:space="preserve"> </w:t>
      </w:r>
      <w:r w:rsidR="004E0710">
        <w:rPr>
          <w:i/>
        </w:rPr>
        <w:t xml:space="preserve">enjoy </w:t>
      </w:r>
      <w:r w:rsidR="00B10071">
        <w:t xml:space="preserve">the feeling (as in </w:t>
      </w:r>
      <w:r w:rsidR="004E0710">
        <w:t>masochism), or that</w:t>
      </w:r>
      <w:r w:rsidR="00B10071">
        <w:t>, more commonly,</w:t>
      </w:r>
      <w:r w:rsidR="004E0710">
        <w:t xml:space="preserve"> one might </w:t>
      </w:r>
      <w:r w:rsidR="00B932D6">
        <w:t xml:space="preserve">have a </w:t>
      </w:r>
      <w:r w:rsidR="00B932D6">
        <w:lastRenderedPageBreak/>
        <w:t xml:space="preserve">mild pain—from a paper cut, or a lingering headache, say—that one simply doesn’t pause to </w:t>
      </w:r>
      <w:r w:rsidR="005716AE">
        <w:t xml:space="preserve">assess </w:t>
      </w:r>
      <w:r w:rsidR="00FB6795">
        <w:t xml:space="preserve">one way </w:t>
      </w:r>
      <w:r w:rsidR="005716AE">
        <w:t>or the other</w:t>
      </w:r>
      <w:r w:rsidR="00B932D6">
        <w:t>.</w:t>
      </w:r>
      <w:r w:rsidR="004E0710">
        <w:t xml:space="preserve">  </w:t>
      </w:r>
      <w:r w:rsidR="00DD1429">
        <w:t xml:space="preserve">If </w:t>
      </w:r>
      <w:r w:rsidR="00411ED2">
        <w:t>such people are indeed in pain,</w:t>
      </w:r>
      <w:r w:rsidR="008E58C2">
        <w:t xml:space="preserve"> </w:t>
      </w:r>
      <w:r w:rsidR="00411ED2">
        <w:t>then being in</w:t>
      </w:r>
      <w:r w:rsidR="002665A8">
        <w:t xml:space="preserve"> pain </w:t>
      </w:r>
      <w:r w:rsidR="00B72E50">
        <w:t>must</w:t>
      </w:r>
      <w:r w:rsidR="002665A8">
        <w:t xml:space="preserve"> dissociate from judging oneself to be in an unpleasant state</w:t>
      </w:r>
      <w:r w:rsidR="00E834A8">
        <w:t xml:space="preserve">.  I will </w:t>
      </w:r>
      <w:r w:rsidR="00240ED6">
        <w:t>address the masochism objection below</w:t>
      </w:r>
      <w:r w:rsidR="00752A37">
        <w:t xml:space="preserve"> in </w:t>
      </w:r>
      <w:r w:rsidR="00240ED6">
        <w:t>considering the</w:t>
      </w:r>
      <w:r w:rsidR="00E834A8">
        <w:t xml:space="preserve"> neurocogni</w:t>
      </w:r>
      <w:r w:rsidR="00240ED6">
        <w:t>tive diagnosis of pain asymbolia</w:t>
      </w:r>
      <w:r w:rsidR="00E834A8">
        <w:t xml:space="preserve">.  In response to the objection that some pains may go by without one’s </w:t>
      </w:r>
      <w:r w:rsidR="001A6488">
        <w:t>assessing them either</w:t>
      </w:r>
      <w:r w:rsidR="00B72E50">
        <w:t xml:space="preserve"> way, </w:t>
      </w:r>
      <w:r w:rsidR="00E834A8">
        <w:t xml:space="preserve">one can hold that a state is a pain just in case one is </w:t>
      </w:r>
      <w:r w:rsidR="00E834A8">
        <w:rPr>
          <w:i/>
        </w:rPr>
        <w:t xml:space="preserve">disposed </w:t>
      </w:r>
      <w:r w:rsidR="00E834A8">
        <w:t xml:space="preserve">to judge it unpleasant.  This </w:t>
      </w:r>
      <w:r w:rsidR="00E834A8" w:rsidRPr="001A6488">
        <w:rPr>
          <w:i/>
        </w:rPr>
        <w:t>dispositional</w:t>
      </w:r>
      <w:r w:rsidR="00E834A8">
        <w:t xml:space="preserve"> assessment view of pain would hold that a state is a pain just in cas</w:t>
      </w:r>
      <w:r w:rsidR="005716AE">
        <w:t>e, were one’s attention drawn to it, one would judge it</w:t>
      </w:r>
      <w:r w:rsidR="00E834A8">
        <w:t xml:space="preserve"> unpleasant.</w:t>
      </w:r>
      <w:r w:rsidR="005716AE">
        <w:t xml:space="preserve">  This allows there to be pains</w:t>
      </w:r>
      <w:r w:rsidR="001A6488">
        <w:t xml:space="preserve"> we never bother to assess</w:t>
      </w:r>
      <w:r w:rsidR="005716AE">
        <w:t xml:space="preserve">, while ensuring that </w:t>
      </w:r>
      <w:r w:rsidR="001A6488">
        <w:t>our j</w:t>
      </w:r>
      <w:r w:rsidR="00DD1429">
        <w:t>udgments that we are (or are not) in pain</w:t>
      </w:r>
      <w:r w:rsidR="001A6488">
        <w:t xml:space="preserve"> are always true.</w:t>
      </w:r>
    </w:p>
    <w:p w14:paraId="632CF18D" w14:textId="08610CF8" w:rsidR="00111B8E" w:rsidRDefault="00576786" w:rsidP="00F655BD">
      <w:pPr>
        <w:rPr>
          <w:i/>
        </w:rPr>
      </w:pPr>
      <w:r>
        <w:rPr>
          <w:i/>
        </w:rPr>
        <w:t>Pain as a complex phenomenon: implications for incorrigibility</w:t>
      </w:r>
    </w:p>
    <w:p w14:paraId="4AE801F1" w14:textId="23A78403" w:rsidR="00F21AEC" w:rsidRDefault="002E1D1D" w:rsidP="00F21AEC">
      <w:r>
        <w:t xml:space="preserve">As earlier noted, it is </w:t>
      </w:r>
      <w:r w:rsidR="00787DBA">
        <w:t xml:space="preserve">common to conceive of pain as a </w:t>
      </w:r>
      <w:r w:rsidR="00787DBA" w:rsidRPr="003D2989">
        <w:rPr>
          <w:i/>
        </w:rPr>
        <w:t>complex</w:t>
      </w:r>
      <w:r w:rsidR="00787DBA">
        <w:t xml:space="preserve"> mental phenomenon, with distinct sensory-discriminative, affective-emotional, and cognitive-evaluative components </w:t>
      </w:r>
      <w:r w:rsidR="00787DBA">
        <w:fldChar w:fldCharType="begin"/>
      </w:r>
      <w:r w:rsidR="0058186D">
        <w:instrText xml:space="preserve"> ADDIN EN.CITE &lt;EndNote&gt;&lt;Cite&gt;&lt;Author&gt;Grahek&lt;/Author&gt;&lt;Year&gt;2007&lt;/Year&gt;&lt;RecNum&gt;745&lt;/RecNum&gt;&lt;DisplayText&gt;(Corns, 2014; Grahek, 2007; Hardcastle, 1999)&lt;/DisplayText&gt;&lt;record&gt;&lt;rec-number&gt;745&lt;/rec-number&gt;&lt;foreign-keys&gt;&lt;key app="EN" db-id="v0vwpaxsertptmes2t5p2228rf5f520wfd5p"&gt;745&lt;/key&gt;&lt;/foreign-keys&gt;&lt;ref-type name="Book"&gt;6&lt;/ref-type&gt;&lt;contributors&gt;&lt;authors&gt;&lt;author&gt;Grahek, N.&lt;/author&gt;&lt;/authors&gt;&lt;/contributors&gt;&lt;titles&gt;&lt;title&gt;Feeling Pain and Being in Pain&lt;/title&gt;&lt;/titles&gt;&lt;edition&gt;2nd&lt;/edition&gt;&lt;dates&gt;&lt;year&gt;2007&lt;/year&gt;&lt;/dates&gt;&lt;pub-location&gt;Cambridge, MA&lt;/pub-location&gt;&lt;publisher&gt;MIT PRess&lt;/publisher&gt;&lt;urls&gt;&lt;/urls&gt;&lt;/record&gt;&lt;/Cite&gt;&lt;Cite&gt;&lt;Author&gt;Corns&lt;/Author&gt;&lt;Year&gt;2014&lt;/Year&gt;&lt;RecNum&gt;748&lt;/RecNum&gt;&lt;record&gt;&lt;rec-number&gt;748&lt;/rec-number&gt;&lt;foreign-keys&gt;&lt;key app="EN" db-id="v0vwpaxsertptmes2t5p2228rf5f520wfd5p"&gt;748&lt;/key&gt;&lt;/foreign-keys&gt;&lt;ref-type name="Journal Article"&gt;17&lt;/ref-type&gt;&lt;contributors&gt;&lt;authors&gt;&lt;author&gt;Corns, J.&lt;/author&gt;&lt;/authors&gt;&lt;/contributors&gt;&lt;titles&gt;&lt;title&gt;The inadequacy of unitary characterizations of pain&lt;/title&gt;&lt;secondary-title&gt;Philosophical Studies&lt;/secondary-title&gt;&lt;/titles&gt;&lt;periodical&gt;&lt;full-title&gt;Philosophical Studies&lt;/full-title&gt;&lt;/periodical&gt;&lt;pages&gt;355-378&lt;/pages&gt;&lt;volume&gt;169&lt;/volume&gt;&lt;dates&gt;&lt;year&gt;2014&lt;/year&gt;&lt;/dates&gt;&lt;urls&gt;&lt;/urls&gt;&lt;/record&gt;&lt;/Cite&gt;&lt;Cite&gt;&lt;Author&gt;Hardcastle&lt;/Author&gt;&lt;Year&gt;1999&lt;/Year&gt;&lt;RecNum&gt;11&lt;/RecNum&gt;&lt;record&gt;&lt;rec-number&gt;11&lt;/rec-number&gt;&lt;foreign-keys&gt;&lt;key app="EN" db-id="2tx220waur0024e2a9tvwtxhxx5exp9fr52f" timestamp="1458059552"&gt;11&lt;/key&gt;&lt;/foreign-keys&gt;&lt;ref-type name="Book"&gt;6&lt;/ref-type&gt;&lt;contributors&gt;&lt;authors&gt;&lt;author&gt;Hardcastle, Valerie&lt;/author&gt;&lt;/authors&gt;&lt;/contributors&gt;&lt;titles&gt;&lt;title&gt;The Myth of Pain&lt;/title&gt;&lt;/titles&gt;&lt;dates&gt;&lt;year&gt;1999&lt;/year&gt;&lt;/dates&gt;&lt;pub-location&gt;Cambridge, MA&lt;/pub-location&gt;&lt;publisher&gt;MIT Press&lt;/publisher&gt;&lt;urls&gt;&lt;/urls&gt;&lt;/record&gt;&lt;/Cite&gt;&lt;/EndNote&gt;</w:instrText>
      </w:r>
      <w:r w:rsidR="00787DBA">
        <w:fldChar w:fldCharType="separate"/>
      </w:r>
      <w:r w:rsidR="00787DBA">
        <w:rPr>
          <w:noProof/>
        </w:rPr>
        <w:t>(Corns, 2014; Grahek, 2007; Hardcastle, 1999)</w:t>
      </w:r>
      <w:r w:rsidR="00787DBA">
        <w:fldChar w:fldCharType="end"/>
      </w:r>
      <w:r w:rsidR="00787DBA">
        <w:t xml:space="preserve">.  </w:t>
      </w:r>
      <w:r w:rsidR="00F21AEC">
        <w:t>We can conclude our reflections on the incorrigibility thesis</w:t>
      </w:r>
      <w:r w:rsidR="0058186D">
        <w:t xml:space="preserve">—and the assessment-dependency view I have </w:t>
      </w:r>
      <w:r w:rsidR="001A6488">
        <w:t>outlined</w:t>
      </w:r>
      <w:r w:rsidR="0058186D">
        <w:t>—</w:t>
      </w:r>
      <w:r w:rsidR="00F21AEC">
        <w:t>by considering it in light of possible dissociations among these features.</w:t>
      </w:r>
      <w:r w:rsidR="0058186D">
        <w:t xml:space="preserve">  S</w:t>
      </w:r>
      <w:r w:rsidR="00F21AEC">
        <w:t>uch dissociations help focus attention on the question of which (if any) aspects of pain are truly essential to pain, and which are merely associated with it.</w:t>
      </w:r>
    </w:p>
    <w:p w14:paraId="4E3B9FE3" w14:textId="2E1168C0" w:rsidR="00820476" w:rsidRDefault="004F0ACC" w:rsidP="00787DBA">
      <w:r>
        <w:t>In</w:t>
      </w:r>
      <w:r w:rsidR="00111B8E">
        <w:t xml:space="preserve"> the phenome</w:t>
      </w:r>
      <w:r w:rsidR="007A776B">
        <w:t xml:space="preserve">non of pain asymbolia, </w:t>
      </w:r>
      <w:r w:rsidR="000909F5">
        <w:t xml:space="preserve">patients </w:t>
      </w:r>
      <w:r w:rsidR="00752D42">
        <w:t xml:space="preserve">with </w:t>
      </w:r>
      <w:r w:rsidR="0058186D">
        <w:t>particular</w:t>
      </w:r>
      <w:r w:rsidR="00D10851">
        <w:t xml:space="preserve"> </w:t>
      </w:r>
      <w:r w:rsidR="00752D42">
        <w:t>neural lesions</w:t>
      </w:r>
      <w:r w:rsidR="00A42171">
        <w:rPr>
          <w:rStyle w:val="FootnoteReference"/>
        </w:rPr>
        <w:footnoteReference w:id="6"/>
      </w:r>
      <w:r w:rsidR="00752D42">
        <w:t xml:space="preserve"> </w:t>
      </w:r>
      <w:r w:rsidR="000909F5">
        <w:t xml:space="preserve">seem to experience the sensory-discriminative aspect of pain </w:t>
      </w:r>
      <w:r w:rsidR="001F764E">
        <w:t xml:space="preserve">upon harmful stimulation, </w:t>
      </w:r>
      <w:r w:rsidR="00733A4B">
        <w:t>without its cognitive or affective aspect</w:t>
      </w:r>
      <w:r w:rsidR="0058186D">
        <w:t xml:space="preserve"> </w:t>
      </w:r>
      <w:r w:rsidR="0058186D">
        <w:fldChar w:fldCharType="begin"/>
      </w:r>
      <w:r w:rsidR="0058186D">
        <w:instrText xml:space="preserve"> ADDIN EN.CITE &lt;EndNote&gt;&lt;Cite&gt;&lt;Author&gt;Berthier&lt;/Author&gt;&lt;Year&gt;1988&lt;/Year&gt;&lt;RecNum&gt;760&lt;/RecNum&gt;&lt;DisplayText&gt;(Berthier, Starkstein, &amp;amp; Leiguarda, 1988)&lt;/DisplayText&gt;&lt;record&gt;&lt;rec-number&gt;760&lt;/rec-number&gt;&lt;foreign-keys&gt;&lt;key app="EN" db-id="v0vwpaxsertptmes2t5p2228rf5f520wfd5p"&gt;760&lt;/key&gt;&lt;/foreign-keys&gt;&lt;ref-type name="Journal Article"&gt;17&lt;/ref-type&gt;&lt;contributors&gt;&lt;authors&gt;&lt;author&gt;Berthier, Marchcelo&lt;/author&gt;&lt;author&gt;Starkstein, Sergio&lt;/author&gt;&lt;author&gt;Leiguarda, Ramon&lt;/author&gt;&lt;/authors&gt;&lt;/contributors&gt;&lt;titles&gt;&lt;title&gt;Asymbolia for pain: A sensory-limbic disconnection syndrome&lt;/title&gt;&lt;secondary-title&gt;Annals of Neurology&lt;/secondary-title&gt;&lt;/titles&gt;&lt;periodical&gt;&lt;full-title&gt;Annals of Neurology&lt;/full-title&gt;&lt;/periodical&gt;&lt;pages&gt;41-49&lt;/pages&gt;&lt;volume&gt;24&lt;/volume&gt;&lt;number&gt;1&lt;/number&gt;&lt;dates&gt;&lt;year&gt;1988&lt;/year&gt;&lt;/dates&gt;&lt;publisher&gt;Wiley Subscription Services, Inc., A Wiley Company&lt;/publisher&gt;&lt;isbn&gt;1531-8249&lt;/isbn&gt;&lt;urls&gt;&lt;related-urls&gt;&lt;url&gt;http://dx.doi.org/10.1002/ana.410240109&lt;/url&gt;&lt;/related-urls&gt;&lt;/urls&gt;&lt;electronic-resource-num&gt;10.1002/ana.410240109&lt;/electronic-resource-num&gt;&lt;/record&gt;&lt;/Cite&gt;&lt;/EndNote&gt;</w:instrText>
      </w:r>
      <w:r w:rsidR="0058186D">
        <w:fldChar w:fldCharType="separate"/>
      </w:r>
      <w:r w:rsidR="0058186D">
        <w:rPr>
          <w:noProof/>
        </w:rPr>
        <w:t>(Berthier, Starkstein, &amp; Leiguarda, 1988)</w:t>
      </w:r>
      <w:r w:rsidR="0058186D">
        <w:fldChar w:fldCharType="end"/>
      </w:r>
      <w:r w:rsidR="00733A4B">
        <w:t xml:space="preserve">.  As </w:t>
      </w:r>
      <w:r w:rsidR="007D1DD6">
        <w:t>Grahek</w:t>
      </w:r>
      <w:r w:rsidR="00733A4B">
        <w:t xml:space="preserve"> puts it</w:t>
      </w:r>
      <w:r w:rsidR="000F7402">
        <w:t xml:space="preserve"> in an extended treatment of the issue</w:t>
      </w:r>
      <w:r w:rsidR="007D1DD6">
        <w:t>, “t</w:t>
      </w:r>
      <w:r w:rsidR="001F764E">
        <w:t>hese patients do not mind pain at all; indeed, they may even smile or laugh at it (</w:t>
      </w:r>
      <w:r w:rsidR="002D519E">
        <w:t>2007</w:t>
      </w:r>
      <w:r w:rsidR="007D1DD6">
        <w:rPr>
          <w:i/>
        </w:rPr>
        <w:t>,</w:t>
      </w:r>
      <w:r w:rsidR="000909F5">
        <w:t xml:space="preserve"> p. 2-3).</w:t>
      </w:r>
      <w:r w:rsidR="00FB70C4">
        <w:t xml:space="preserve"> </w:t>
      </w:r>
      <w:r w:rsidR="009110EE">
        <w:t xml:space="preserve"> </w:t>
      </w:r>
      <w:r w:rsidR="000F7402">
        <w:t>P</w:t>
      </w:r>
      <w:r w:rsidR="00752D42">
        <w:t>atients with pain asymbolia tend to describe their perceived pains as hurtful</w:t>
      </w:r>
      <w:r w:rsidR="00C95324">
        <w:t>—showing awareness of the sensory aspect—</w:t>
      </w:r>
      <w:r w:rsidR="00752D42">
        <w:t>y</w:t>
      </w:r>
      <w:r w:rsidR="00C95324">
        <w:t>et</w:t>
      </w:r>
      <w:r w:rsidR="00752D42">
        <w:t xml:space="preserve"> show no avoidance behavior, nor any </w:t>
      </w:r>
      <w:r w:rsidR="00C95324">
        <w:t>related</w:t>
      </w:r>
      <w:r w:rsidR="00752D42">
        <w:t xml:space="preserve"> anxiety with respect to </w:t>
      </w:r>
      <w:r w:rsidR="00C95324">
        <w:t>the</w:t>
      </w:r>
      <w:r w:rsidR="00752D42">
        <w:t xml:space="preserve"> painful stimul</w:t>
      </w:r>
      <w:r w:rsidR="00C95324">
        <w:t>us</w:t>
      </w:r>
      <w:r w:rsidR="00752D42">
        <w:t>.</w:t>
      </w:r>
      <w:r w:rsidR="00CF41ED">
        <w:t xml:space="preserve">  (See Chapter </w:t>
      </w:r>
      <w:r w:rsidR="00B932D6">
        <w:t>32</w:t>
      </w:r>
      <w:r w:rsidR="00CF41ED">
        <w:t xml:space="preserve"> of this handbook for discussion of other dissociations relevant to understanding pain).  </w:t>
      </w:r>
      <w:r w:rsidR="00752D42">
        <w:t xml:space="preserve">  </w:t>
      </w:r>
    </w:p>
    <w:p w14:paraId="0ADD152B" w14:textId="2B3A21AC" w:rsidR="0032678D" w:rsidRDefault="00733A4B" w:rsidP="0032678D">
      <w:pPr>
        <w:ind w:firstLine="720"/>
      </w:pPr>
      <w:r>
        <w:t xml:space="preserve">Are people </w:t>
      </w:r>
      <w:r w:rsidR="00AC3AE9">
        <w:t>with</w:t>
      </w:r>
      <w:r>
        <w:t xml:space="preserve"> pain asymbolia</w:t>
      </w:r>
      <w:r w:rsidR="0038056A">
        <w:t xml:space="preserve"> truly </w:t>
      </w:r>
      <w:r w:rsidR="0038056A">
        <w:rPr>
          <w:i/>
        </w:rPr>
        <w:t>in pain</w:t>
      </w:r>
      <w:r w:rsidR="0038056A">
        <w:t xml:space="preserve">?  </w:t>
      </w:r>
      <w:r w:rsidR="000F7402">
        <w:t>We</w:t>
      </w:r>
      <w:r w:rsidR="0038056A">
        <w:t xml:space="preserve"> can </w:t>
      </w:r>
      <w:r w:rsidR="000F7402">
        <w:t xml:space="preserve">certainly </w:t>
      </w:r>
      <w:r w:rsidR="0038056A">
        <w:t xml:space="preserve">see </w:t>
      </w:r>
      <w:r w:rsidR="0038056A" w:rsidRPr="00C95324">
        <w:t>some grounds</w:t>
      </w:r>
      <w:r w:rsidR="0038056A">
        <w:rPr>
          <w:i/>
        </w:rPr>
        <w:t xml:space="preserve"> </w:t>
      </w:r>
      <w:r w:rsidR="0038056A">
        <w:t xml:space="preserve">for saying </w:t>
      </w:r>
      <w:r w:rsidR="002D519E">
        <w:t xml:space="preserve">that </w:t>
      </w:r>
      <w:r w:rsidR="006A44EC">
        <w:t>they are</w:t>
      </w:r>
      <w:r w:rsidR="0032678D">
        <w:t xml:space="preserve">:  they share </w:t>
      </w:r>
      <w:r w:rsidR="000F7402">
        <w:t xml:space="preserve">an important sensory-discriminative state </w:t>
      </w:r>
      <w:r w:rsidR="0032678D">
        <w:t>with people who are more obviously in pain</w:t>
      </w:r>
      <w:r w:rsidR="0038056A">
        <w:t xml:space="preserve">.  </w:t>
      </w:r>
      <w:r w:rsidR="00DD6130">
        <w:t xml:space="preserve">And they would seem to be in pain at least in the same sense as the </w:t>
      </w:r>
      <w:r w:rsidR="009110EE">
        <w:t xml:space="preserve">(idealized) </w:t>
      </w:r>
      <w:r w:rsidR="00DD6130">
        <w:t xml:space="preserve">masochist.  </w:t>
      </w:r>
      <w:r w:rsidR="0038056A">
        <w:t xml:space="preserve">On the other hand, once we see how cleanly the sensory-discriminative aspect of pain can dissociate from its normal cognitive and affective accompaniments, we might wonder whether </w:t>
      </w:r>
      <w:r w:rsidR="0032678D">
        <w:t>we really ought to describe</w:t>
      </w:r>
      <w:r w:rsidR="0038056A">
        <w:t xml:space="preserve"> these </w:t>
      </w:r>
      <w:r w:rsidR="00AC3AE9">
        <w:t>people</w:t>
      </w:r>
      <w:r w:rsidR="0038056A">
        <w:t xml:space="preserve"> as in pain.  For one could argue that </w:t>
      </w:r>
      <w:r w:rsidR="00AC3AE9">
        <w:t>they</w:t>
      </w:r>
      <w:r w:rsidR="0038056A">
        <w:t xml:space="preserve"> only experience</w:t>
      </w:r>
      <w:r w:rsidR="00AC3AE9">
        <w:t xml:space="preserve"> the sensory-discriminative</w:t>
      </w:r>
      <w:r w:rsidR="0038056A">
        <w:t xml:space="preserve"> </w:t>
      </w:r>
      <w:r w:rsidR="0038056A">
        <w:rPr>
          <w:i/>
        </w:rPr>
        <w:t xml:space="preserve">part </w:t>
      </w:r>
      <w:r w:rsidR="0038056A">
        <w:t>of what pain really is</w:t>
      </w:r>
      <w:r w:rsidR="00AC3AE9">
        <w:t>,</w:t>
      </w:r>
      <w:r w:rsidR="0032678D">
        <w:t xml:space="preserve"> and that pain</w:t>
      </w:r>
      <w:r w:rsidR="000F7402">
        <w:t xml:space="preserve"> </w:t>
      </w:r>
      <w:r w:rsidR="000F7402">
        <w:rPr>
          <w:i/>
        </w:rPr>
        <w:t>proper</w:t>
      </w:r>
      <w:r w:rsidR="00AC3AE9">
        <w:t xml:space="preserve"> </w:t>
      </w:r>
      <w:r w:rsidR="00D10851">
        <w:t>requires</w:t>
      </w:r>
      <w:r w:rsidR="0038056A">
        <w:t xml:space="preserve"> </w:t>
      </w:r>
      <w:r w:rsidR="002D519E">
        <w:t>negative affective and cognitive components as well</w:t>
      </w:r>
      <w:r w:rsidR="0058186D">
        <w:t>; these would include</w:t>
      </w:r>
      <w:r w:rsidR="000F7402">
        <w:t xml:space="preserve"> </w:t>
      </w:r>
      <w:r w:rsidR="002D519E">
        <w:t xml:space="preserve">stress, </w:t>
      </w:r>
      <w:r w:rsidR="0038056A">
        <w:t>anxiety, a desire to alleviate</w:t>
      </w:r>
      <w:r w:rsidR="002D519E">
        <w:t xml:space="preserve"> the sensation</w:t>
      </w:r>
      <w:r w:rsidR="0038056A">
        <w:t>,</w:t>
      </w:r>
      <w:r w:rsidR="002D519E">
        <w:t xml:space="preserve"> a belief that </w:t>
      </w:r>
      <w:r w:rsidR="00D10851">
        <w:t>the sensation is unpleasant</w:t>
      </w:r>
      <w:r w:rsidR="00DD6130">
        <w:t>, and so on</w:t>
      </w:r>
      <w:r w:rsidR="002D519E">
        <w:t>.</w:t>
      </w:r>
      <w:r w:rsidR="00DD6130">
        <w:t xml:space="preserve">  </w:t>
      </w:r>
      <w:r w:rsidR="00AC3AE9">
        <w:t xml:space="preserve">Declaring </w:t>
      </w:r>
      <w:r w:rsidR="006A44EC">
        <w:t>these</w:t>
      </w:r>
      <w:r w:rsidR="00AC3AE9">
        <w:t xml:space="preserve"> components essential to pain</w:t>
      </w:r>
      <w:r w:rsidR="00DD6130">
        <w:t xml:space="preserve"> </w:t>
      </w:r>
      <w:r w:rsidR="0058186D">
        <w:t>would enable us to</w:t>
      </w:r>
      <w:r w:rsidR="00DD6130">
        <w:t xml:space="preserve"> avoid the odd conclusion that someone</w:t>
      </w:r>
      <w:r w:rsidR="0058186D">
        <w:t xml:space="preserve"> could be in pain while</w:t>
      </w:r>
      <w:r w:rsidR="00DD6130">
        <w:t xml:space="preserve"> laugh</w:t>
      </w:r>
      <w:r w:rsidR="0058186D">
        <w:t xml:space="preserve">ing </w:t>
      </w:r>
      <w:r w:rsidR="00DD6130">
        <w:t xml:space="preserve">at </w:t>
      </w:r>
      <w:r w:rsidR="0058186D">
        <w:t>the pain and</w:t>
      </w:r>
      <w:r w:rsidR="00AC3AE9">
        <w:t xml:space="preserve"> </w:t>
      </w:r>
      <w:r w:rsidR="0058186D">
        <w:t>lacking any desire to end it.</w:t>
      </w:r>
    </w:p>
    <w:p w14:paraId="2DDBEC2B" w14:textId="76DD6129" w:rsidR="00A07457" w:rsidRDefault="0032678D" w:rsidP="00FA7A12">
      <w:pPr>
        <w:ind w:firstLine="720"/>
      </w:pPr>
      <w:r>
        <w:t xml:space="preserve">If we are willing to hold that pain has some cognitive </w:t>
      </w:r>
      <w:r w:rsidR="002D519E">
        <w:t xml:space="preserve">and affective states </w:t>
      </w:r>
      <w:r>
        <w:t xml:space="preserve">as necessary components—that pain asymbolia is not pain </w:t>
      </w:r>
      <w:r w:rsidRPr="0032678D">
        <w:rPr>
          <w:i/>
        </w:rPr>
        <w:t>proper</w:t>
      </w:r>
      <w:r>
        <w:t xml:space="preserve">—then the kind of </w:t>
      </w:r>
      <w:r w:rsidR="00DB2C11">
        <w:t>assessment</w:t>
      </w:r>
      <w:r>
        <w:t xml:space="preserve">-dependent view of pain discussed above gains plausibility.  For the belief that one is </w:t>
      </w:r>
      <w:r w:rsidR="0026199B">
        <w:t xml:space="preserve">in an unpleasant state is </w:t>
      </w:r>
      <w:r w:rsidR="006F0BAB">
        <w:t xml:space="preserve">a </w:t>
      </w:r>
      <w:r w:rsidR="0058186D">
        <w:t>reasonable</w:t>
      </w:r>
      <w:r w:rsidR="006F0BAB">
        <w:t xml:space="preserve"> candidate</w:t>
      </w:r>
      <w:r w:rsidR="000F7402">
        <w:t xml:space="preserve"> for a necessary cognitive component of pain</w:t>
      </w:r>
      <w:r w:rsidR="00966B67">
        <w:t xml:space="preserve">.  </w:t>
      </w:r>
      <w:r w:rsidR="0058186D">
        <w:t>Doing so allows</w:t>
      </w:r>
      <w:r w:rsidR="006F0BAB">
        <w:t xml:space="preserve"> for a principled means for </w:t>
      </w:r>
      <w:r w:rsidR="006F0BAB">
        <w:lastRenderedPageBreak/>
        <w:t xml:space="preserve">marking the point at which a </w:t>
      </w:r>
      <w:r w:rsidR="0058186D">
        <w:t xml:space="preserve">sensation of </w:t>
      </w:r>
      <w:r w:rsidR="006F0BAB">
        <w:t>warmth shades into one of pain</w:t>
      </w:r>
      <w:r w:rsidR="0058186D">
        <w:t xml:space="preserve"> (</w:t>
      </w:r>
      <w:r w:rsidR="001A6488">
        <w:t xml:space="preserve">as </w:t>
      </w:r>
      <w:r w:rsidR="0058186D">
        <w:t>discussed above)</w:t>
      </w:r>
      <w:r w:rsidR="001A6488">
        <w:t xml:space="preserve">, and </w:t>
      </w:r>
      <w:r w:rsidR="00FA7A12">
        <w:t>respect</w:t>
      </w:r>
      <w:r w:rsidR="001A6488">
        <w:t xml:space="preserve">s </w:t>
      </w:r>
      <w:r w:rsidR="006F0BAB">
        <w:t xml:space="preserve">the </w:t>
      </w:r>
      <w:r w:rsidR="00FA7A12">
        <w:t>particular</w:t>
      </w:r>
      <w:r w:rsidR="00730B47">
        <w:t xml:space="preserve"> </w:t>
      </w:r>
      <w:r w:rsidR="006F0BAB">
        <w:t xml:space="preserve">role that talk of pain plays in public discourse.  </w:t>
      </w:r>
      <w:r w:rsidR="005A7766">
        <w:t xml:space="preserve">  </w:t>
      </w:r>
    </w:p>
    <w:p w14:paraId="42986345" w14:textId="280B85E1" w:rsidR="00357431" w:rsidRDefault="0055256B" w:rsidP="00A07457">
      <w:pPr>
        <w:ind w:firstLine="720"/>
      </w:pPr>
      <w:r>
        <w:t>However</w:t>
      </w:r>
      <w:r w:rsidR="00A07457">
        <w:t xml:space="preserve">, </w:t>
      </w:r>
      <w:r>
        <w:t>if</w:t>
      </w:r>
      <w:r w:rsidR="00A07457">
        <w:t xml:space="preserve"> the sensory-discriminative aspect of pain is an equally </w:t>
      </w:r>
      <w:r w:rsidR="00730B47">
        <w:t>necessary</w:t>
      </w:r>
      <w:r w:rsidR="00A07457">
        <w:t xml:space="preserve"> component of pain </w:t>
      </w:r>
      <w:r w:rsidR="00A07457" w:rsidRPr="00557EF6">
        <w:rPr>
          <w:i/>
        </w:rPr>
        <w:t>proper</w:t>
      </w:r>
      <w:r w:rsidR="00A07457">
        <w:t xml:space="preserve">, false positives </w:t>
      </w:r>
      <w:r>
        <w:t>will</w:t>
      </w:r>
      <w:r w:rsidR="00A07457">
        <w:t xml:space="preserve"> still be possible.   </w:t>
      </w:r>
      <w:r w:rsidR="00AC3AE9">
        <w:t>These would be cases where people judge themselves to be in pain (</w:t>
      </w:r>
      <w:r w:rsidR="00730B47">
        <w:t>and in an unpleasant state</w:t>
      </w:r>
      <w:r w:rsidR="00AC3AE9">
        <w:t xml:space="preserve">) and have the </w:t>
      </w:r>
      <w:r w:rsidR="00966B67">
        <w:t xml:space="preserve">negative </w:t>
      </w:r>
      <w:r w:rsidR="00AC3AE9">
        <w:t xml:space="preserve">affective components of pain, yet lack the sensory-discriminative aspect of pain.  Interestingly, such dissociations </w:t>
      </w:r>
      <w:r w:rsidR="00966B67">
        <w:t>have been reported</w:t>
      </w:r>
      <w:r w:rsidR="00AC3AE9">
        <w:t xml:space="preserve">.  </w:t>
      </w:r>
      <w:r w:rsidR="008F7B9C">
        <w:t>Ploner</w:t>
      </w:r>
      <w:r w:rsidR="00801425">
        <w:t xml:space="preserve">, Freund, and Schinitzler </w:t>
      </w:r>
      <w:r w:rsidR="00801425">
        <w:fldChar w:fldCharType="begin"/>
      </w:r>
      <w:r w:rsidR="002A4269">
        <w:instrText xml:space="preserve"> ADDIN EN.CITE &lt;EndNote&gt;&lt;Cite ExcludeAuth="1"&gt;&lt;Author&gt;Ploner&lt;/Author&gt;&lt;Year&gt;1999&lt;/Year&gt;&lt;RecNum&gt;747&lt;/RecNum&gt;&lt;DisplayText&gt;(1999)&lt;/DisplayText&gt;&lt;record&gt;&lt;rec-number&gt;747&lt;/rec-number&gt;&lt;foreign-keys&gt;&lt;key app="EN" db-id="v0vwpaxsertptmes2t5p2228rf5f520wfd5p"&gt;747&lt;/key&gt;&lt;/foreign-keys&gt;&lt;ref-type name="Journal Article"&gt;17&lt;/ref-type&gt;&lt;contributors&gt;&lt;authors&gt;&lt;author&gt;Ploner, M.&lt;/author&gt;&lt;author&gt;Freund, H.-J.&lt;/author&gt;&lt;author&gt;Schinitzler, A.&lt;/author&gt;&lt;/authors&gt;&lt;/contributors&gt;&lt;titles&gt;&lt;title&gt;Pain Affect without Pain Sensation in a Patient with a Postcentral Lesion&lt;/title&gt;&lt;secondary-title&gt;Pain&lt;/secondary-title&gt;&lt;/titles&gt;&lt;periodical&gt;&lt;full-title&gt;Pain&lt;/full-title&gt;&lt;/periodical&gt;&lt;pages&gt;211-214&lt;/pages&gt;&lt;volume&gt;81&lt;/volume&gt;&lt;dates&gt;&lt;year&gt;1999&lt;/year&gt;&lt;/dates&gt;&lt;urls&gt;&lt;/urls&gt;&lt;/record&gt;&lt;/Cite&gt;&lt;/EndNote&gt;</w:instrText>
      </w:r>
      <w:r w:rsidR="00801425">
        <w:fldChar w:fldCharType="separate"/>
      </w:r>
      <w:r w:rsidR="00801425">
        <w:rPr>
          <w:noProof/>
        </w:rPr>
        <w:t>(1999)</w:t>
      </w:r>
      <w:r w:rsidR="00801425">
        <w:fldChar w:fldCharType="end"/>
      </w:r>
      <w:r w:rsidR="00AC3AE9">
        <w:t xml:space="preserve"> </w:t>
      </w:r>
      <w:r w:rsidR="008F7B9C">
        <w:t xml:space="preserve">describe a patient whose ability to spatially localize and qualitatively describe painful stimuli was greatly impaired.  Nevertheless, the patient still showed clear signs of </w:t>
      </w:r>
      <w:r w:rsidR="005500F8">
        <w:t xml:space="preserve">discomfort </w:t>
      </w:r>
      <w:r w:rsidR="00496BCC">
        <w:t xml:space="preserve">upon receiving normally painful stimuli </w:t>
      </w:r>
      <w:r w:rsidR="005500F8">
        <w:t>and wished</w:t>
      </w:r>
      <w:r w:rsidR="008F7B9C">
        <w:t xml:space="preserve"> to avoid further stimuli of that kind</w:t>
      </w:r>
      <w:r w:rsidR="00DB2C11">
        <w:t>.  This suggested (in the words of Ploner and colleagues</w:t>
      </w:r>
      <w:r w:rsidR="008F7B9C">
        <w:t>) “a loss of pain sensation with preserved pain affect” (p. 211, as quoted in Grahek, 2007).</w:t>
      </w:r>
      <w:r w:rsidR="000930E0">
        <w:t xml:space="preserve">  </w:t>
      </w:r>
      <w:r w:rsidR="00357431">
        <w:t>We can interpret this patient as having the cognitive and affective components of pain, without the</w:t>
      </w:r>
      <w:r w:rsidR="00DB2C11">
        <w:t xml:space="preserve"> normally associated</w:t>
      </w:r>
      <w:r w:rsidR="00357431">
        <w:t xml:space="preserve"> sensory component.  If such a patient is wrong to judge himself as being in pain</w:t>
      </w:r>
      <w:r w:rsidR="00DB2C11">
        <w:t>—because he lacks the sensory-discriminative component</w:t>
      </w:r>
      <w:r w:rsidR="00AC3AE9">
        <w:t xml:space="preserve"> of pain</w:t>
      </w:r>
      <w:r w:rsidR="00DB2C11">
        <w:t>—</w:t>
      </w:r>
      <w:r w:rsidR="00357431">
        <w:t xml:space="preserve">then false positives </w:t>
      </w:r>
      <w:r w:rsidR="00DB2C11">
        <w:t>remain</w:t>
      </w:r>
      <w:r w:rsidR="00357431">
        <w:t xml:space="preserve"> possible.</w:t>
      </w:r>
    </w:p>
    <w:p w14:paraId="056DBAAC" w14:textId="5183029F" w:rsidR="00D83C43" w:rsidRPr="008F30AC" w:rsidRDefault="00357431" w:rsidP="00A07457">
      <w:pPr>
        <w:ind w:firstLine="720"/>
      </w:pPr>
      <w:r>
        <w:t xml:space="preserve">But </w:t>
      </w:r>
      <w:r w:rsidR="00DB2C11">
        <w:rPr>
          <w:i/>
        </w:rPr>
        <w:t>would</w:t>
      </w:r>
      <w:r>
        <w:rPr>
          <w:i/>
        </w:rPr>
        <w:t xml:space="preserve"> </w:t>
      </w:r>
      <w:r>
        <w:t xml:space="preserve">such a patient </w:t>
      </w:r>
      <w:r w:rsidR="00DB2C11">
        <w:t xml:space="preserve">be </w:t>
      </w:r>
      <w:r>
        <w:t>wrong</w:t>
      </w:r>
      <w:r w:rsidR="00AC3AE9">
        <w:t xml:space="preserve"> to judge himself as being in pain</w:t>
      </w:r>
      <w:r>
        <w:t>?  Th</w:t>
      </w:r>
      <w:r w:rsidR="00966B67">
        <w:t>e answer is not obvious</w:t>
      </w:r>
      <w:r>
        <w:t xml:space="preserve">.  </w:t>
      </w:r>
      <w:r w:rsidR="001F2172">
        <w:t>F</w:t>
      </w:r>
      <w:r w:rsidR="008F30AC">
        <w:t>aced with someone with the full affective co</w:t>
      </w:r>
      <w:r w:rsidR="00DB2C11">
        <w:t xml:space="preserve">mponent of an </w:t>
      </w:r>
      <w:r w:rsidR="00AC3AE9">
        <w:t>intense</w:t>
      </w:r>
      <w:r w:rsidR="00DB2C11">
        <w:t xml:space="preserve"> pain</w:t>
      </w:r>
      <w:r w:rsidR="001F2172">
        <w:t>,</w:t>
      </w:r>
      <w:r w:rsidR="008F30AC">
        <w:t xml:space="preserve"> we may feel deeply inclined to grant that he is in pain, regardless of whether he is in </w:t>
      </w:r>
      <w:r w:rsidR="00966B67">
        <w:t>the normally associated</w:t>
      </w:r>
      <w:r w:rsidR="008F30AC">
        <w:t xml:space="preserve"> sensory-discriminative state.  </w:t>
      </w:r>
      <w:r w:rsidR="00966B67">
        <w:t>Clearly</w:t>
      </w:r>
      <w:r w:rsidR="00DB2C11">
        <w:t xml:space="preserve"> such a person</w:t>
      </w:r>
      <w:r w:rsidR="001F2172">
        <w:t xml:space="preserve">—beset by </w:t>
      </w:r>
      <w:r w:rsidR="002E5087">
        <w:t xml:space="preserve">stress, anxiety, and a strong </w:t>
      </w:r>
      <w:r w:rsidR="001F2172">
        <w:t>desire to end the pain—</w:t>
      </w:r>
      <w:r w:rsidR="00DB2C11">
        <w:t xml:space="preserve">would not be able to live what we normally take to be a happy and </w:t>
      </w:r>
      <w:r w:rsidR="00DB2C11" w:rsidRPr="00DB2C11">
        <w:rPr>
          <w:i/>
        </w:rPr>
        <w:t>pain-free</w:t>
      </w:r>
      <w:r w:rsidR="00DB2C11">
        <w:t xml:space="preserve"> life until h</w:t>
      </w:r>
      <w:r w:rsidR="00AC3AE9">
        <w:t>is situation changed</w:t>
      </w:r>
      <w:r w:rsidR="00DB2C11">
        <w:t xml:space="preserve">.  In this way, the cognitive and affective aspects of pain </w:t>
      </w:r>
      <w:r w:rsidR="002E5087">
        <w:t xml:space="preserve">may </w:t>
      </w:r>
      <w:r w:rsidR="00DB2C11">
        <w:t xml:space="preserve">trump its sensory components.  </w:t>
      </w:r>
      <w:r w:rsidR="008F30AC">
        <w:t xml:space="preserve">Of course, our attention to the affective </w:t>
      </w:r>
      <w:r w:rsidR="002E5087">
        <w:t xml:space="preserve">and cognitive </w:t>
      </w:r>
      <w:r w:rsidR="008F30AC">
        <w:t>component</w:t>
      </w:r>
      <w:r w:rsidR="002E5087">
        <w:t>s</w:t>
      </w:r>
      <w:r w:rsidR="008F30AC">
        <w:t xml:space="preserve"> does not show that the </w:t>
      </w:r>
      <w:r w:rsidR="008F30AC" w:rsidRPr="00DB2C11">
        <w:rPr>
          <w:i/>
        </w:rPr>
        <w:t>mere</w:t>
      </w:r>
      <w:r w:rsidR="008F30AC">
        <w:t xml:space="preserve"> cognitive </w:t>
      </w:r>
      <w:r w:rsidR="008F30AC" w:rsidRPr="00DB2C11">
        <w:t>judgment</w:t>
      </w:r>
      <w:r w:rsidR="008F30AC">
        <w:rPr>
          <w:i/>
        </w:rPr>
        <w:t xml:space="preserve"> </w:t>
      </w:r>
      <w:r w:rsidR="008F30AC">
        <w:t xml:space="preserve">that one is in an unpleasant state </w:t>
      </w:r>
      <w:r w:rsidR="002E5087">
        <w:t>is sufficient for</w:t>
      </w:r>
      <w:r w:rsidR="008F30AC">
        <w:t xml:space="preserve"> pain.  </w:t>
      </w:r>
      <w:r w:rsidR="002E5087">
        <w:t>That judgment in the absence of any of the affective or sensory components of pain could reasonably be considered a false positive</w:t>
      </w:r>
      <w:r w:rsidR="00DB2C11">
        <w:t xml:space="preserve">.  </w:t>
      </w:r>
      <w:r w:rsidR="008F30AC">
        <w:t xml:space="preserve">Yet, on the other hand, </w:t>
      </w:r>
      <w:r w:rsidR="002E5087">
        <w:t xml:space="preserve">the contents of states like beliefs and desires are typically ascribed </w:t>
      </w:r>
      <w:r w:rsidR="00AC3AE9">
        <w:t xml:space="preserve">on the basis of </w:t>
      </w:r>
      <w:r w:rsidR="002E5087">
        <w:t xml:space="preserve">their causes and effects.  And it is reasonable to think that the </w:t>
      </w:r>
      <w:r w:rsidR="008F30AC">
        <w:t xml:space="preserve">judgment </w:t>
      </w:r>
      <w:r w:rsidR="002E5087">
        <w:t xml:space="preserve">that one is having an </w:t>
      </w:r>
      <w:r w:rsidR="00AC3AE9">
        <w:t>intense</w:t>
      </w:r>
      <w:r w:rsidR="002E5087">
        <w:t xml:space="preserve"> pain </w:t>
      </w:r>
      <w:r w:rsidR="0055256B">
        <w:t>has</w:t>
      </w:r>
      <w:r w:rsidR="00FA7A12">
        <w:t>,</w:t>
      </w:r>
      <w:r w:rsidR="008F30AC">
        <w:t xml:space="preserve"> as one of its necessary </w:t>
      </w:r>
      <w:r w:rsidR="00DB2C11">
        <w:t xml:space="preserve">cognitive </w:t>
      </w:r>
      <w:r w:rsidR="008F30AC" w:rsidRPr="00DB2C11">
        <w:rPr>
          <w:i/>
        </w:rPr>
        <w:t>effects</w:t>
      </w:r>
      <w:r w:rsidR="00FA7A12">
        <w:rPr>
          <w:i/>
        </w:rPr>
        <w:t>,</w:t>
      </w:r>
      <w:r w:rsidR="008F30AC">
        <w:t xml:space="preserve"> anxiety and negative affect of the kind associated with </w:t>
      </w:r>
      <w:r w:rsidR="002E5087">
        <w:t xml:space="preserve">intense </w:t>
      </w:r>
      <w:r w:rsidR="008F30AC">
        <w:t xml:space="preserve">pain.  </w:t>
      </w:r>
      <w:r w:rsidR="002E5087">
        <w:t>That is, we might be warranted in saying that any</w:t>
      </w:r>
      <w:r w:rsidR="00AC3AE9">
        <w:t xml:space="preserve"> cognitive</w:t>
      </w:r>
      <w:r w:rsidR="002E5087">
        <w:t xml:space="preserve"> state that does </w:t>
      </w:r>
      <w:r w:rsidR="002E5087" w:rsidRPr="002E5087">
        <w:rPr>
          <w:i/>
        </w:rPr>
        <w:t>not</w:t>
      </w:r>
      <w:r w:rsidR="002E5087">
        <w:t xml:space="preserve"> cause anxiety and negative affect </w:t>
      </w:r>
      <w:r w:rsidR="00DF713D">
        <w:t>just isn’t</w:t>
      </w:r>
      <w:r w:rsidR="002E5087">
        <w:t xml:space="preserve"> the belief that one is in </w:t>
      </w:r>
      <w:r w:rsidR="00AC3AE9">
        <w:t>intense</w:t>
      </w:r>
      <w:r w:rsidR="002E5087">
        <w:t xml:space="preserve"> pain.  </w:t>
      </w:r>
      <w:r w:rsidR="008F30AC">
        <w:t>I</w:t>
      </w:r>
      <w:r w:rsidR="005A54CE">
        <w:t>f</w:t>
      </w:r>
      <w:r w:rsidR="008F30AC">
        <w:t xml:space="preserve"> </w:t>
      </w:r>
      <w:r w:rsidR="008F30AC">
        <w:rPr>
          <w:i/>
        </w:rPr>
        <w:t>that</w:t>
      </w:r>
      <w:r w:rsidR="008F30AC">
        <w:t xml:space="preserve"> </w:t>
      </w:r>
      <w:r w:rsidR="00FC31B2">
        <w:t xml:space="preserve">were </w:t>
      </w:r>
      <w:r w:rsidR="00FC6675">
        <w:t>true</w:t>
      </w:r>
      <w:r w:rsidR="008F30AC">
        <w:t xml:space="preserve">, </w:t>
      </w:r>
      <w:r w:rsidR="00966B67">
        <w:t xml:space="preserve">and if we agreed that the sensory-discriminative aspect is not essential to pain, </w:t>
      </w:r>
      <w:r w:rsidR="008F30AC">
        <w:t>we can see how false pos</w:t>
      </w:r>
      <w:r w:rsidR="002E5087">
        <w:t>itives would also be impossible</w:t>
      </w:r>
      <w:r w:rsidR="0055256B">
        <w:t xml:space="preserve"> (</w:t>
      </w:r>
      <w:r w:rsidR="002E5087">
        <w:t xml:space="preserve">at least with respect to </w:t>
      </w:r>
      <w:r w:rsidR="00AC3AE9">
        <w:t>intense</w:t>
      </w:r>
      <w:r w:rsidR="002E5087">
        <w:t xml:space="preserve"> pains</w:t>
      </w:r>
      <w:r w:rsidR="0055256B">
        <w:t>)</w:t>
      </w:r>
      <w:r w:rsidR="002E5087">
        <w:t xml:space="preserve">.  </w:t>
      </w:r>
    </w:p>
    <w:p w14:paraId="575D6B38" w14:textId="79920A68" w:rsidR="00FC6675" w:rsidRDefault="0055256B" w:rsidP="003F490A">
      <w:pPr>
        <w:ind w:firstLine="720"/>
      </w:pPr>
      <w:r>
        <w:t>Nevertheless,</w:t>
      </w:r>
      <w:r w:rsidR="00A80DC4">
        <w:t xml:space="preserve"> it must be admitted </w:t>
      </w:r>
      <w:r w:rsidR="00AE4346">
        <w:t xml:space="preserve">that the reasons </w:t>
      </w:r>
      <w:r w:rsidR="00A80DC4">
        <w:t>so far</w:t>
      </w:r>
      <w:r w:rsidR="004F3E4F">
        <w:t xml:space="preserve"> considered for holding a certain cognitive self-assessment to be necessary and sufficient for pain are less than conclusive.  A </w:t>
      </w:r>
      <w:r w:rsidR="00FC6675">
        <w:t>reasonable opponent might still question whether any one</w:t>
      </w:r>
      <w:r w:rsidR="00A80DC4">
        <w:t xml:space="preserve"> component</w:t>
      </w:r>
      <w:r w:rsidR="004F3E4F">
        <w:t xml:space="preserve"> </w:t>
      </w:r>
      <w:r w:rsidR="00FC6675">
        <w:t xml:space="preserve">of pain—be </w:t>
      </w:r>
      <w:r w:rsidR="001E4077">
        <w:t>it</w:t>
      </w:r>
      <w:r w:rsidR="00FC6675">
        <w:t xml:space="preserve"> sensory, affective, or cognitive</w:t>
      </w:r>
      <w:r w:rsidR="000F1464">
        <w:t>—</w:t>
      </w:r>
      <w:r w:rsidR="001E4077">
        <w:t>is</w:t>
      </w:r>
      <w:r w:rsidR="000F1464">
        <w:t xml:space="preserve"> </w:t>
      </w:r>
      <w:r w:rsidR="004F3E4F">
        <w:t>privileged in that manner</w:t>
      </w:r>
      <w:r w:rsidR="000F1464">
        <w:t xml:space="preserve">.  </w:t>
      </w:r>
      <w:r w:rsidR="00A80DC4">
        <w:t>Perhaps</w:t>
      </w:r>
      <w:r w:rsidR="000F1464">
        <w:t xml:space="preserve"> each is typical or paradigmatic of pain, with none </w:t>
      </w:r>
      <w:r w:rsidR="004F3E4F">
        <w:t>truly essential</w:t>
      </w:r>
      <w:r w:rsidR="006E4686">
        <w:t xml:space="preserve"> (Corns, 2014)</w:t>
      </w:r>
      <w:r w:rsidR="000F1464">
        <w:t xml:space="preserve">.  </w:t>
      </w:r>
      <w:r w:rsidR="00C06241">
        <w:t xml:space="preserve">Granting the </w:t>
      </w:r>
      <w:r w:rsidR="008E04AF">
        <w:t xml:space="preserve">basic </w:t>
      </w:r>
      <w:r w:rsidR="00C06241">
        <w:t xml:space="preserve">sobriety of such a </w:t>
      </w:r>
      <w:r w:rsidR="00AE4346">
        <w:t>view</w:t>
      </w:r>
      <w:r w:rsidR="00C06241">
        <w:t xml:space="preserve">, </w:t>
      </w:r>
      <w:r w:rsidR="006B54CA">
        <w:t>we can still</w:t>
      </w:r>
      <w:r>
        <w:t xml:space="preserve"> conclu</w:t>
      </w:r>
      <w:r w:rsidR="006B54CA">
        <w:t>de</w:t>
      </w:r>
      <w:r>
        <w:t xml:space="preserve"> that </w:t>
      </w:r>
      <w:r w:rsidR="006E4686">
        <w:t>the</w:t>
      </w:r>
      <w:r w:rsidR="00AF4DC4">
        <w:t xml:space="preserve"> </w:t>
      </w:r>
      <w:r w:rsidR="00C06241">
        <w:t xml:space="preserve">best </w:t>
      </w:r>
      <w:r w:rsidR="00355E48">
        <w:t>prospect</w:t>
      </w:r>
      <w:r w:rsidR="00C06241">
        <w:t xml:space="preserve"> for a </w:t>
      </w:r>
      <w:r w:rsidR="00355E48">
        <w:t xml:space="preserve">vindication and </w:t>
      </w:r>
      <w:r w:rsidR="00355E48" w:rsidRPr="006E4686">
        <w:rPr>
          <w:i/>
        </w:rPr>
        <w:t>explanation</w:t>
      </w:r>
      <w:r w:rsidR="00355E48">
        <w:t xml:space="preserve"> of</w:t>
      </w:r>
      <w:r w:rsidR="00C06241">
        <w:t xml:space="preserve"> the incorrigibility </w:t>
      </w:r>
      <w:r w:rsidR="00A80DC4">
        <w:t>thesis’s attraction</w:t>
      </w:r>
      <w:r w:rsidR="000F1464">
        <w:t xml:space="preserve"> </w:t>
      </w:r>
      <w:r w:rsidR="00AF4DC4">
        <w:t>lies</w:t>
      </w:r>
      <w:r w:rsidR="00C06241">
        <w:t xml:space="preserve"> in </w:t>
      </w:r>
      <w:r w:rsidR="004E76EE">
        <w:t>granting pain’s assessment dependency</w:t>
      </w:r>
      <w:r w:rsidR="00CB6381">
        <w:t xml:space="preserve">.  </w:t>
      </w:r>
      <w:r w:rsidR="004E76EE">
        <w:t>That there should be so reasonable a route to our own incorrigibility is</w:t>
      </w:r>
      <w:r w:rsidR="009110EE">
        <w:t>, to me,</w:t>
      </w:r>
      <w:r w:rsidR="004E76EE">
        <w:t xml:space="preserve"> </w:t>
      </w:r>
      <w:r w:rsidR="009110EE">
        <w:t>surprising</w:t>
      </w:r>
      <w:r>
        <w:t>.</w:t>
      </w:r>
      <w:r w:rsidR="00B2395B">
        <w:rPr>
          <w:rStyle w:val="FootnoteReference"/>
        </w:rPr>
        <w:footnoteReference w:id="7"/>
      </w:r>
      <w:r w:rsidR="004E76EE">
        <w:t xml:space="preserve">  </w:t>
      </w:r>
    </w:p>
    <w:p w14:paraId="7C4BC810" w14:textId="77777777" w:rsidR="00DC288A" w:rsidRDefault="002C5E00" w:rsidP="00F655BD">
      <w:r>
        <w:tab/>
      </w:r>
    </w:p>
    <w:p w14:paraId="024702EE" w14:textId="77777777" w:rsidR="00DC288A" w:rsidRDefault="00DC288A" w:rsidP="00F655BD"/>
    <w:p w14:paraId="170FA0E2" w14:textId="6BAF7CD1" w:rsidR="0055256B" w:rsidRDefault="0055256B">
      <w:pPr>
        <w:rPr>
          <w:rFonts w:ascii="Calibri" w:hAnsi="Calibri"/>
          <w:noProof/>
        </w:rPr>
      </w:pPr>
      <w:bookmarkStart w:id="0" w:name="_GoBack"/>
      <w:bookmarkEnd w:id="0"/>
    </w:p>
    <w:p w14:paraId="64D5E950" w14:textId="13BB558A" w:rsidR="000538C0" w:rsidRDefault="000538C0" w:rsidP="00731F79">
      <w:pPr>
        <w:spacing w:after="0" w:line="240" w:lineRule="auto"/>
        <w:rPr>
          <w:i/>
        </w:rPr>
      </w:pPr>
      <w:r>
        <w:rPr>
          <w:i/>
        </w:rPr>
        <w:t>Related Topics:</w:t>
      </w:r>
    </w:p>
    <w:p w14:paraId="435D4EB4" w14:textId="77777777" w:rsidR="00A90AD8" w:rsidRDefault="00A90AD8" w:rsidP="00731F79">
      <w:pPr>
        <w:spacing w:after="0" w:line="240" w:lineRule="auto"/>
      </w:pPr>
      <w:r>
        <w:t>Chapter 2:  Pain and representation</w:t>
      </w:r>
    </w:p>
    <w:p w14:paraId="3BC412AD" w14:textId="6C0D3FE6" w:rsidR="00A90AD8" w:rsidRDefault="00A90AD8" w:rsidP="00731F79">
      <w:pPr>
        <w:spacing w:after="0" w:line="240" w:lineRule="auto"/>
      </w:pPr>
      <w:r>
        <w:t>Chapter 4:  Imperativism</w:t>
      </w:r>
    </w:p>
    <w:p w14:paraId="53595E94" w14:textId="77777777" w:rsidR="00A90AD8" w:rsidRDefault="00A90AD8" w:rsidP="00731F79">
      <w:pPr>
        <w:spacing w:after="0" w:line="240" w:lineRule="auto"/>
      </w:pPr>
      <w:r>
        <w:t>Chapter 5:  Fault lines in familiar concepts of pain</w:t>
      </w:r>
    </w:p>
    <w:p w14:paraId="7D648125" w14:textId="37C8E15C" w:rsidR="000538C0" w:rsidRDefault="00A90AD8" w:rsidP="00731F79">
      <w:pPr>
        <w:spacing w:after="0" w:line="240" w:lineRule="auto"/>
      </w:pPr>
      <w:r>
        <w:t>Chapter 15:  Social pain</w:t>
      </w:r>
      <w:r>
        <w:br/>
        <w:t>Chapter 18:  Pain and consciousness</w:t>
      </w:r>
    </w:p>
    <w:p w14:paraId="012FD747" w14:textId="2F8743D7" w:rsidR="00A90AD8" w:rsidRDefault="00A90AD8" w:rsidP="00731F79">
      <w:pPr>
        <w:spacing w:after="0" w:line="240" w:lineRule="auto"/>
      </w:pPr>
      <w:r>
        <w:t>Chapter 19:  Pain:  perception or introspection</w:t>
      </w:r>
    </w:p>
    <w:p w14:paraId="606D0295" w14:textId="5FAEF022" w:rsidR="00A90AD8" w:rsidRDefault="00A90AD8" w:rsidP="00731F79">
      <w:pPr>
        <w:spacing w:after="0" w:line="240" w:lineRule="auto"/>
      </w:pPr>
      <w:r>
        <w:t>Chapter 23:  Pain and cognitive penetrability</w:t>
      </w:r>
    </w:p>
    <w:p w14:paraId="086910B5" w14:textId="0C202DE5" w:rsidR="00F957A4" w:rsidRDefault="00F957A4" w:rsidP="00731F79">
      <w:pPr>
        <w:spacing w:after="0" w:line="240" w:lineRule="auto"/>
      </w:pPr>
      <w:r>
        <w:t>Chapter 32:  Pain and their disorders</w:t>
      </w:r>
    </w:p>
    <w:p w14:paraId="5108F514" w14:textId="43AF9E6B" w:rsidR="00A90AD8" w:rsidRDefault="00A90AD8" w:rsidP="00731F79">
      <w:pPr>
        <w:spacing w:after="0" w:line="240" w:lineRule="auto"/>
      </w:pPr>
      <w:r>
        <w:t>Chapter 34:  Pain and “placebo” analgesia</w:t>
      </w:r>
    </w:p>
    <w:p w14:paraId="37FA3DE8" w14:textId="77777777" w:rsidR="00A90AD8" w:rsidRPr="000538C0" w:rsidRDefault="00A90AD8" w:rsidP="000538C0"/>
    <w:p w14:paraId="7BF454FD" w14:textId="7749C9F6" w:rsidR="00E234BD" w:rsidRPr="000538C0" w:rsidRDefault="00DC288A" w:rsidP="000538C0">
      <w:pPr>
        <w:rPr>
          <w:rFonts w:ascii="Calibri" w:hAnsi="Calibri"/>
          <w:noProof/>
        </w:rPr>
      </w:pPr>
      <w:r>
        <w:rPr>
          <w:rFonts w:ascii="Calibri" w:hAnsi="Calibri"/>
          <w:noProof/>
        </w:rPr>
        <w:fldChar w:fldCharType="begin"/>
      </w:r>
      <w:r>
        <w:instrText xml:space="preserve"> ADDIN EN.REFLIST </w:instrText>
      </w:r>
      <w:r>
        <w:rPr>
          <w:rFonts w:ascii="Calibri" w:hAnsi="Calibri"/>
          <w:noProof/>
        </w:rPr>
        <w:fldChar w:fldCharType="separate"/>
      </w:r>
      <w:r w:rsidR="00E234BD" w:rsidRPr="00E234BD">
        <w:t>References</w:t>
      </w:r>
    </w:p>
    <w:p w14:paraId="68718AF5" w14:textId="77777777" w:rsidR="00E234BD" w:rsidRPr="00E234BD" w:rsidRDefault="00E234BD" w:rsidP="00E234BD">
      <w:pPr>
        <w:pStyle w:val="EndNoteBibliographyTitle"/>
      </w:pPr>
    </w:p>
    <w:p w14:paraId="1FB1E904" w14:textId="77777777" w:rsidR="00E234BD" w:rsidRPr="00E234BD" w:rsidRDefault="00E234BD" w:rsidP="00E234BD">
      <w:pPr>
        <w:pStyle w:val="EndNoteBibliography"/>
        <w:spacing w:after="0"/>
        <w:ind w:left="720" w:hanging="720"/>
      </w:pPr>
      <w:r w:rsidRPr="00E234BD">
        <w:t xml:space="preserve">Balog, K. (2012). Acquaintance and the mind-body problem. In S. Gozzano &amp; C. S. Hill (Eds.), </w:t>
      </w:r>
      <w:r w:rsidRPr="00E234BD">
        <w:rPr>
          <w:i/>
        </w:rPr>
        <w:t>New Perspectives on Type Identity: The Mental and the Physical</w:t>
      </w:r>
      <w:r w:rsidRPr="00E234BD">
        <w:t xml:space="preserve"> (pp. 16-42): Cambridge University Press.</w:t>
      </w:r>
    </w:p>
    <w:p w14:paraId="4CF4A1BF" w14:textId="77777777" w:rsidR="00E234BD" w:rsidRPr="00E234BD" w:rsidRDefault="00E234BD" w:rsidP="00E234BD">
      <w:pPr>
        <w:pStyle w:val="EndNoteBibliography"/>
        <w:spacing w:after="0"/>
        <w:ind w:left="720" w:hanging="720"/>
      </w:pPr>
      <w:r w:rsidRPr="00E234BD">
        <w:t xml:space="preserve">Berthier, M., Starkstein, S., &amp; Leiguarda, R. (1988). Asymbolia for pain: A sensory-limbic disconnection syndrome. </w:t>
      </w:r>
      <w:r w:rsidRPr="00E234BD">
        <w:rPr>
          <w:i/>
        </w:rPr>
        <w:t>Annals of Neurology, 24</w:t>
      </w:r>
      <w:r w:rsidRPr="00E234BD">
        <w:t>(1), 41-49. doi:10.1002/ana.410240109</w:t>
      </w:r>
    </w:p>
    <w:p w14:paraId="4A58FAB8" w14:textId="77777777" w:rsidR="00E234BD" w:rsidRPr="00E234BD" w:rsidRDefault="00E234BD" w:rsidP="00E234BD">
      <w:pPr>
        <w:pStyle w:val="EndNoteBibliography"/>
        <w:spacing w:after="0"/>
        <w:ind w:left="720" w:hanging="720"/>
      </w:pPr>
      <w:r w:rsidRPr="00E234BD">
        <w:t xml:space="preserve">Bortolotti, L. (2009). </w:t>
      </w:r>
      <w:r w:rsidRPr="00E234BD">
        <w:rPr>
          <w:i/>
        </w:rPr>
        <w:t>Delusions and Other Irrational Beliefs</w:t>
      </w:r>
      <w:r w:rsidRPr="00E234BD">
        <w:t>. Oxford: Oxford University Press.</w:t>
      </w:r>
    </w:p>
    <w:p w14:paraId="20A30089" w14:textId="77777777" w:rsidR="00E234BD" w:rsidRPr="00E234BD" w:rsidRDefault="00E234BD" w:rsidP="00E234BD">
      <w:pPr>
        <w:pStyle w:val="EndNoteBibliography"/>
        <w:spacing w:after="0"/>
        <w:ind w:left="720" w:hanging="720"/>
      </w:pPr>
      <w:r w:rsidRPr="00E234BD">
        <w:t xml:space="preserve">Byrne, A. (2012). Knowing What I See. In D. Smithies &amp; D. Stoljar (Eds.), </w:t>
      </w:r>
      <w:r w:rsidRPr="00E234BD">
        <w:rPr>
          <w:i/>
        </w:rPr>
        <w:t>Introspection and Consciousness</w:t>
      </w:r>
      <w:r w:rsidRPr="00E234BD">
        <w:t xml:space="preserve"> (pp. 183-210). Oxford: Oxford University Press.</w:t>
      </w:r>
    </w:p>
    <w:p w14:paraId="6015E152" w14:textId="77777777" w:rsidR="00E234BD" w:rsidRPr="00E234BD" w:rsidRDefault="00E234BD" w:rsidP="00E234BD">
      <w:pPr>
        <w:pStyle w:val="EndNoteBibliography"/>
        <w:spacing w:after="0"/>
        <w:ind w:left="720" w:hanging="720"/>
      </w:pPr>
      <w:r w:rsidRPr="00E234BD">
        <w:t xml:space="preserve">Carruthers, P. (2004). Suffering without subjectivity. </w:t>
      </w:r>
      <w:r w:rsidRPr="00E234BD">
        <w:rPr>
          <w:i/>
        </w:rPr>
        <w:t>Philosophical Studies, 121</w:t>
      </w:r>
      <w:r w:rsidRPr="00E234BD">
        <w:t>(2), 99-125. doi:10.1007/s11098-004-3635-5</w:t>
      </w:r>
    </w:p>
    <w:p w14:paraId="27ECD2C5" w14:textId="77777777" w:rsidR="00E234BD" w:rsidRPr="00E234BD" w:rsidRDefault="00E234BD" w:rsidP="00E234BD">
      <w:pPr>
        <w:pStyle w:val="EndNoteBibliography"/>
        <w:spacing w:after="0"/>
        <w:ind w:left="720" w:hanging="720"/>
      </w:pPr>
      <w:r w:rsidRPr="00E234BD">
        <w:t xml:space="preserve">Corns, J. (2014). The inadequacy of unitary characterizations of pain. </w:t>
      </w:r>
      <w:r w:rsidRPr="00E234BD">
        <w:rPr>
          <w:i/>
        </w:rPr>
        <w:t>Philosophical Studies, 169</w:t>
      </w:r>
      <w:r w:rsidRPr="00E234BD">
        <w:t xml:space="preserve">, 355-378. </w:t>
      </w:r>
    </w:p>
    <w:p w14:paraId="77CC6EE3" w14:textId="77777777" w:rsidR="00E234BD" w:rsidRPr="00E234BD" w:rsidRDefault="00E234BD" w:rsidP="00E234BD">
      <w:pPr>
        <w:pStyle w:val="EndNoteBibliography"/>
        <w:spacing w:after="0"/>
        <w:ind w:left="720" w:hanging="720"/>
      </w:pPr>
      <w:r w:rsidRPr="00E234BD">
        <w:t xml:space="preserve">Firestone, C., &amp; Scholl, B. J. (forthcoming). Cognition does not affect perception:  Evaluating the evidence for 'top-down' effects. </w:t>
      </w:r>
      <w:r w:rsidRPr="00E234BD">
        <w:rPr>
          <w:i/>
        </w:rPr>
        <w:t>Behavioral and Brain Sciences</w:t>
      </w:r>
      <w:r w:rsidRPr="00E234BD">
        <w:t xml:space="preserve">. </w:t>
      </w:r>
    </w:p>
    <w:p w14:paraId="059697C5" w14:textId="77777777" w:rsidR="00E234BD" w:rsidRPr="00E234BD" w:rsidRDefault="00E234BD" w:rsidP="00E234BD">
      <w:pPr>
        <w:pStyle w:val="EndNoteBibliography"/>
        <w:spacing w:after="0"/>
        <w:ind w:left="720" w:hanging="720"/>
      </w:pPr>
      <w:r w:rsidRPr="00E234BD">
        <w:t xml:space="preserve">Grahek, N. (2007). </w:t>
      </w:r>
      <w:r w:rsidRPr="00E234BD">
        <w:rPr>
          <w:i/>
        </w:rPr>
        <w:t>Feeling Pain and Being in Pain</w:t>
      </w:r>
      <w:r w:rsidRPr="00E234BD">
        <w:t xml:space="preserve"> (2nd ed.). Cambridge, MA: MIT PRess.</w:t>
      </w:r>
    </w:p>
    <w:p w14:paraId="7792BBAA" w14:textId="77777777" w:rsidR="00E234BD" w:rsidRPr="00E234BD" w:rsidRDefault="00E234BD" w:rsidP="00E234BD">
      <w:pPr>
        <w:pStyle w:val="EndNoteBibliography"/>
        <w:spacing w:after="0"/>
        <w:ind w:left="720" w:hanging="720"/>
      </w:pPr>
      <w:r w:rsidRPr="00E234BD">
        <w:t xml:space="preserve">Hardcastle, V. (1999). </w:t>
      </w:r>
      <w:r w:rsidRPr="00E234BD">
        <w:rPr>
          <w:i/>
        </w:rPr>
        <w:t>The Myth of Pain</w:t>
      </w:r>
      <w:r w:rsidRPr="00E234BD">
        <w:t>. Cambridge, MA: MIT Press.</w:t>
      </w:r>
    </w:p>
    <w:p w14:paraId="6959F7A1" w14:textId="77777777" w:rsidR="00E234BD" w:rsidRPr="00E234BD" w:rsidRDefault="00E234BD" w:rsidP="00E234BD">
      <w:pPr>
        <w:pStyle w:val="EndNoteBibliography"/>
        <w:spacing w:after="0"/>
        <w:ind w:left="720" w:hanging="720"/>
      </w:pPr>
      <w:r w:rsidRPr="00E234BD">
        <w:t xml:space="preserve">Jackson, F. (1982). Epiphenomenal Qualia. </w:t>
      </w:r>
      <w:r w:rsidRPr="00E234BD">
        <w:rPr>
          <w:i/>
        </w:rPr>
        <w:t>The Philosophical Quarterly, 32</w:t>
      </w:r>
      <w:r w:rsidRPr="00E234BD">
        <w:t xml:space="preserve">(127), 127-136. </w:t>
      </w:r>
    </w:p>
    <w:p w14:paraId="0683EC44" w14:textId="77777777" w:rsidR="00E234BD" w:rsidRPr="00E234BD" w:rsidRDefault="00E234BD" w:rsidP="00E234BD">
      <w:pPr>
        <w:pStyle w:val="EndNoteBibliography"/>
        <w:spacing w:after="0"/>
        <w:ind w:left="720" w:hanging="720"/>
      </w:pPr>
      <w:r w:rsidRPr="00E234BD">
        <w:t xml:space="preserve">Langland-Hassan, P. (2008). Fractured Phenomenologies:  Thought Insertion, Inner Speech, and the Puzzle of Extraneity. </w:t>
      </w:r>
      <w:r w:rsidRPr="00E234BD">
        <w:rPr>
          <w:i/>
        </w:rPr>
        <w:t>Mind &amp; Language, 23</w:t>
      </w:r>
      <w:r w:rsidRPr="00E234BD">
        <w:t xml:space="preserve">(4), 369-401. </w:t>
      </w:r>
    </w:p>
    <w:p w14:paraId="27A0C00D" w14:textId="77777777" w:rsidR="00E234BD" w:rsidRPr="00E234BD" w:rsidRDefault="00E234BD" w:rsidP="00E234BD">
      <w:pPr>
        <w:pStyle w:val="EndNoteBibliography"/>
        <w:spacing w:after="0"/>
        <w:ind w:left="720" w:hanging="720"/>
      </w:pPr>
      <w:r w:rsidRPr="00E234BD">
        <w:t xml:space="preserve">Lupyan, G. (2015). Cognitive Penetrability of Perception in the Age of Prediction: Predictive Systems are Penetrable Systems. </w:t>
      </w:r>
      <w:r w:rsidRPr="00E234BD">
        <w:rPr>
          <w:i/>
        </w:rPr>
        <w:t>Review of Philosophy and Psychology, 6</w:t>
      </w:r>
      <w:r w:rsidRPr="00E234BD">
        <w:t>(4), 547-569. doi:10.1007/s13164-015-0253-4</w:t>
      </w:r>
    </w:p>
    <w:p w14:paraId="44FAAC14" w14:textId="77777777" w:rsidR="00E234BD" w:rsidRPr="00E234BD" w:rsidRDefault="00E234BD" w:rsidP="00E234BD">
      <w:pPr>
        <w:pStyle w:val="EndNoteBibliography"/>
        <w:spacing w:after="0"/>
        <w:ind w:left="720" w:hanging="720"/>
      </w:pPr>
      <w:r w:rsidRPr="00E234BD">
        <w:t xml:space="preserve">Macpherson, F. (2012). Cognitive Penetration of Colour Experience:  Rethinking the Issue in Light of an Indirect Mechanism. </w:t>
      </w:r>
      <w:r w:rsidRPr="00E234BD">
        <w:rPr>
          <w:i/>
        </w:rPr>
        <w:t>Philosophy and Phenomenological Research, 84</w:t>
      </w:r>
      <w:r w:rsidRPr="00E234BD">
        <w:t xml:space="preserve">(1), 24-62. </w:t>
      </w:r>
    </w:p>
    <w:p w14:paraId="5565FA8B" w14:textId="77777777" w:rsidR="00E234BD" w:rsidRPr="00E234BD" w:rsidRDefault="00E234BD" w:rsidP="00E234BD">
      <w:pPr>
        <w:pStyle w:val="EndNoteBibliography"/>
        <w:spacing w:after="0"/>
        <w:ind w:left="720" w:hanging="720"/>
      </w:pPr>
      <w:r w:rsidRPr="00E234BD">
        <w:t xml:space="preserve">Papineau, D. (2007). Phenomenal and Perceptual Concepts. In T. Alter &amp; S. Walter (Eds.), </w:t>
      </w:r>
      <w:r w:rsidRPr="00E234BD">
        <w:rPr>
          <w:i/>
        </w:rPr>
        <w:t>Phenomenal Concepts and Phenomenal Knowledge</w:t>
      </w:r>
      <w:r w:rsidRPr="00E234BD">
        <w:t>. Oxford: Oxford University Press.</w:t>
      </w:r>
    </w:p>
    <w:p w14:paraId="0D8917AC" w14:textId="77777777" w:rsidR="00E234BD" w:rsidRPr="00E234BD" w:rsidRDefault="00E234BD" w:rsidP="00E234BD">
      <w:pPr>
        <w:pStyle w:val="EndNoteBibliography"/>
        <w:spacing w:after="0"/>
        <w:ind w:left="720" w:hanging="720"/>
      </w:pPr>
      <w:r w:rsidRPr="00E234BD">
        <w:t xml:space="preserve">Ploner, M., Freund, H.-J., &amp; Schinitzler, A. (1999). Pain Affect without Pain Sensation in a Patient with a Postcentral Lesion. </w:t>
      </w:r>
      <w:r w:rsidRPr="00E234BD">
        <w:rPr>
          <w:i/>
        </w:rPr>
        <w:t>Pain, 81</w:t>
      </w:r>
      <w:r w:rsidRPr="00E234BD">
        <w:t xml:space="preserve">, 211-214. </w:t>
      </w:r>
    </w:p>
    <w:p w14:paraId="6538E94E" w14:textId="77777777" w:rsidR="00E234BD" w:rsidRPr="00E234BD" w:rsidRDefault="00E234BD" w:rsidP="00E234BD">
      <w:pPr>
        <w:pStyle w:val="EndNoteBibliography"/>
        <w:spacing w:after="0"/>
        <w:ind w:left="720" w:hanging="720"/>
      </w:pPr>
      <w:r w:rsidRPr="00E234BD">
        <w:t xml:space="preserve">Rainville, P., Carrier, B., Hofbauer, R. K., Bushnell, M. C., &amp; Duncan, G. H. (1999). Dissociation of sensory and affective dimensions of pain using hypnotic modulation. </w:t>
      </w:r>
      <w:r w:rsidRPr="00E234BD">
        <w:rPr>
          <w:i/>
        </w:rPr>
        <w:t>Pain, 82</w:t>
      </w:r>
      <w:r w:rsidRPr="00E234BD">
        <w:t xml:space="preserve">(2), 159-171. </w:t>
      </w:r>
    </w:p>
    <w:p w14:paraId="6FF097B1" w14:textId="77777777" w:rsidR="00E234BD" w:rsidRPr="00E234BD" w:rsidRDefault="00E234BD" w:rsidP="00E234BD">
      <w:pPr>
        <w:pStyle w:val="EndNoteBibliography"/>
        <w:spacing w:after="0"/>
        <w:ind w:left="720" w:hanging="720"/>
      </w:pPr>
      <w:r w:rsidRPr="00E234BD">
        <w:lastRenderedPageBreak/>
        <w:t xml:space="preserve">Schwitzgebel, E. (2008). The Unreliability of Naive Introspection. </w:t>
      </w:r>
      <w:r w:rsidRPr="00E234BD">
        <w:rPr>
          <w:i/>
        </w:rPr>
        <w:t>The Philosophical Review, 117</w:t>
      </w:r>
      <w:r w:rsidRPr="00E234BD">
        <w:t xml:space="preserve">(2), 245-273. </w:t>
      </w:r>
    </w:p>
    <w:p w14:paraId="3E5AC220" w14:textId="7DF9B14E" w:rsidR="00E234BD" w:rsidRPr="00E234BD" w:rsidRDefault="00E234BD" w:rsidP="00E234BD">
      <w:pPr>
        <w:pStyle w:val="EndNoteBibliography"/>
        <w:spacing w:after="0"/>
        <w:ind w:left="720" w:hanging="720"/>
      </w:pPr>
      <w:r w:rsidRPr="00E234BD">
        <w:t xml:space="preserve">Schwitzgebel, E. (2014). Introspection. In E. N. Zalta (Ed.), The Stanford Encyclopedia of Philosophy. Retrieved from </w:t>
      </w:r>
      <w:hyperlink r:id="rId8" w:history="1">
        <w:r w:rsidRPr="00E234BD">
          <w:rPr>
            <w:rStyle w:val="Hyperlink"/>
          </w:rPr>
          <w:t>http://plato.stanford.edu/archives/sum2014/entries/introspection/</w:t>
        </w:r>
      </w:hyperlink>
      <w:r w:rsidRPr="00E234BD">
        <w:t xml:space="preserve">.  Retrieved from </w:t>
      </w:r>
      <w:hyperlink r:id="rId9" w:history="1">
        <w:r w:rsidRPr="00E234BD">
          <w:rPr>
            <w:rStyle w:val="Hyperlink"/>
          </w:rPr>
          <w:t>http://plato.stanford.edu/archives/sum2014/entries/introspection/</w:t>
        </w:r>
      </w:hyperlink>
    </w:p>
    <w:p w14:paraId="42DE2847" w14:textId="77777777" w:rsidR="00E234BD" w:rsidRPr="00E234BD" w:rsidRDefault="00E234BD" w:rsidP="00E234BD">
      <w:pPr>
        <w:pStyle w:val="EndNoteBibliography"/>
        <w:spacing w:after="0"/>
        <w:ind w:left="720" w:hanging="720"/>
      </w:pPr>
      <w:r w:rsidRPr="00E234BD">
        <w:t xml:space="preserve">Searle, J. (1992). </w:t>
      </w:r>
      <w:r w:rsidRPr="00E234BD">
        <w:rPr>
          <w:i/>
        </w:rPr>
        <w:t>The Rediscovery of Mind</w:t>
      </w:r>
      <w:r w:rsidRPr="00E234BD">
        <w:t>. Cambridge, MA: MIT Press.</w:t>
      </w:r>
    </w:p>
    <w:p w14:paraId="1CE11A12" w14:textId="77777777" w:rsidR="00E234BD" w:rsidRPr="00E234BD" w:rsidRDefault="00E234BD" w:rsidP="00E234BD">
      <w:pPr>
        <w:pStyle w:val="EndNoteBibliography"/>
        <w:ind w:left="720" w:hanging="720"/>
      </w:pPr>
      <w:r w:rsidRPr="00E234BD">
        <w:t xml:space="preserve">Tye, M. (2009). </w:t>
      </w:r>
      <w:r w:rsidRPr="00E234BD">
        <w:rPr>
          <w:i/>
        </w:rPr>
        <w:t>Consciousness Revisited: Materialism Without Phenomenal Concepts</w:t>
      </w:r>
      <w:r w:rsidRPr="00E234BD">
        <w:t>: Mit Press.</w:t>
      </w:r>
    </w:p>
    <w:p w14:paraId="469495A8" w14:textId="4A78F1CD" w:rsidR="00432139" w:rsidRDefault="00DC288A" w:rsidP="00F655BD">
      <w:r>
        <w:fldChar w:fldCharType="end"/>
      </w:r>
    </w:p>
    <w:p w14:paraId="727DD24B" w14:textId="77777777" w:rsidR="00432139" w:rsidRDefault="00432139">
      <w:r>
        <w:br w:type="page"/>
      </w:r>
    </w:p>
    <w:p w14:paraId="6E6B1C82" w14:textId="7ACA3A52" w:rsidR="00295439" w:rsidRDefault="00432139" w:rsidP="00F655BD">
      <w:r>
        <w:lastRenderedPageBreak/>
        <w:t>Figure 1</w:t>
      </w:r>
    </w:p>
    <w:p w14:paraId="0138CAD7" w14:textId="77777777" w:rsidR="00432139" w:rsidRDefault="00432139" w:rsidP="00F655BD"/>
    <w:p w14:paraId="3B2C600A" w14:textId="08F6E0F1" w:rsidR="00432139" w:rsidRDefault="00432139" w:rsidP="00F655BD">
      <w:r>
        <w:rPr>
          <w:noProof/>
        </w:rPr>
        <w:drawing>
          <wp:inline distT="0" distB="0" distL="0" distR="0" wp14:anchorId="6CD8CCE6" wp14:editId="21B3C770">
            <wp:extent cx="5602605" cy="3161030"/>
            <wp:effectExtent l="0" t="0" r="0" b="1270"/>
            <wp:docPr id="1" name="Picture 1" descr="http://museumofconsciousness.com/rm10%20images/mu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seumofconsciousness.com/rm10%20images/mull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605" cy="3161030"/>
                    </a:xfrm>
                    <a:prstGeom prst="rect">
                      <a:avLst/>
                    </a:prstGeom>
                    <a:noFill/>
                    <a:ln>
                      <a:noFill/>
                    </a:ln>
                  </pic:spPr>
                </pic:pic>
              </a:graphicData>
            </a:graphic>
          </wp:inline>
        </w:drawing>
      </w:r>
    </w:p>
    <w:p w14:paraId="02203B72" w14:textId="2ABA2053" w:rsidR="00432139" w:rsidRPr="00432139" w:rsidRDefault="00432139" w:rsidP="00F655BD">
      <w:r>
        <w:rPr>
          <w:i/>
        </w:rPr>
        <w:t xml:space="preserve">Figure 1:  </w:t>
      </w:r>
      <w:r>
        <w:t>The Müller-Lyer illusion</w:t>
      </w:r>
    </w:p>
    <w:sectPr w:rsidR="00432139" w:rsidRPr="004321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B038" w14:textId="77777777" w:rsidR="002B1637" w:rsidRDefault="002B1637" w:rsidP="00044F4F">
      <w:pPr>
        <w:spacing w:after="0" w:line="240" w:lineRule="auto"/>
      </w:pPr>
      <w:r>
        <w:separator/>
      </w:r>
    </w:p>
  </w:endnote>
  <w:endnote w:type="continuationSeparator" w:id="0">
    <w:p w14:paraId="1CFC5BCD" w14:textId="77777777" w:rsidR="002B1637" w:rsidRDefault="002B1637" w:rsidP="0004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053201"/>
      <w:docPartObj>
        <w:docPartGallery w:val="Page Numbers (Bottom of Page)"/>
        <w:docPartUnique/>
      </w:docPartObj>
    </w:sdtPr>
    <w:sdtEndPr>
      <w:rPr>
        <w:noProof/>
      </w:rPr>
    </w:sdtEndPr>
    <w:sdtContent>
      <w:p w14:paraId="7DC02123" w14:textId="77777777" w:rsidR="00357431" w:rsidRDefault="00357431">
        <w:pPr>
          <w:pStyle w:val="Footer"/>
          <w:jc w:val="right"/>
        </w:pPr>
        <w:r>
          <w:fldChar w:fldCharType="begin"/>
        </w:r>
        <w:r>
          <w:instrText xml:space="preserve"> PAGE   \* MERGEFORMAT </w:instrText>
        </w:r>
        <w:r>
          <w:fldChar w:fldCharType="separate"/>
        </w:r>
        <w:r w:rsidR="00F37D13">
          <w:rPr>
            <w:noProof/>
          </w:rPr>
          <w:t>12</w:t>
        </w:r>
        <w:r>
          <w:rPr>
            <w:noProof/>
          </w:rPr>
          <w:fldChar w:fldCharType="end"/>
        </w:r>
      </w:p>
    </w:sdtContent>
  </w:sdt>
  <w:p w14:paraId="4EC43612" w14:textId="77777777" w:rsidR="00357431" w:rsidRDefault="0035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FE31" w14:textId="77777777" w:rsidR="002B1637" w:rsidRDefault="002B1637" w:rsidP="00044F4F">
      <w:pPr>
        <w:spacing w:after="0" w:line="240" w:lineRule="auto"/>
      </w:pPr>
      <w:r>
        <w:separator/>
      </w:r>
    </w:p>
  </w:footnote>
  <w:footnote w:type="continuationSeparator" w:id="0">
    <w:p w14:paraId="63FBCCD9" w14:textId="77777777" w:rsidR="002B1637" w:rsidRDefault="002B1637" w:rsidP="00044F4F">
      <w:pPr>
        <w:spacing w:after="0" w:line="240" w:lineRule="auto"/>
      </w:pPr>
      <w:r>
        <w:continuationSeparator/>
      </w:r>
    </w:p>
  </w:footnote>
  <w:footnote w:id="1">
    <w:p w14:paraId="04F91FFB" w14:textId="13623314" w:rsidR="00853765" w:rsidRPr="00984FCA" w:rsidRDefault="00853765" w:rsidP="00853765">
      <w:pPr>
        <w:pStyle w:val="FootnoteText"/>
      </w:pPr>
      <w:r>
        <w:rPr>
          <w:rStyle w:val="FootnoteReference"/>
        </w:rPr>
        <w:footnoteRef/>
      </w:r>
      <w:r>
        <w:t xml:space="preserve"> </w:t>
      </w:r>
      <w:r w:rsidR="0012445D">
        <w:t>Typically such representations are held to be non-conceptual in nature, insofar the creatures having them need not possess the concepts needed to specify the</w:t>
      </w:r>
      <w:r w:rsidR="00C40D40">
        <w:t>ir</w:t>
      </w:r>
      <w:r w:rsidR="0012445D">
        <w:t xml:space="preserve"> accuracy conditions</w:t>
      </w:r>
      <w:r w:rsidR="00C40D40">
        <w:t>.</w:t>
      </w:r>
      <w:r w:rsidR="002E0E74">
        <w:t xml:space="preserve"> </w:t>
      </w:r>
    </w:p>
  </w:footnote>
  <w:footnote w:id="2">
    <w:p w14:paraId="157D038B" w14:textId="3A735069" w:rsidR="00357431" w:rsidRPr="000E6147" w:rsidRDefault="00357431">
      <w:pPr>
        <w:pStyle w:val="FootnoteText"/>
      </w:pPr>
      <w:r>
        <w:rPr>
          <w:rStyle w:val="FootnoteReference"/>
        </w:rPr>
        <w:footnoteRef/>
      </w:r>
      <w:r>
        <w:t xml:space="preserve"> These examples raise the question of whether T-pain is rightly equated simply with tissue damage of a certain sort (so that the damage is sufficient for the T-pain) or if, instead, T-pains are only instances of tissue damage that one is aware of </w:t>
      </w:r>
      <w:r>
        <w:rPr>
          <w:i/>
        </w:rPr>
        <w:t xml:space="preserve">in the right way </w:t>
      </w:r>
      <w:r>
        <w:t>(e.g., in virtue of an S-pain that represents it).  See Chapter</w:t>
      </w:r>
      <w:r w:rsidR="0012445D">
        <w:t>s</w:t>
      </w:r>
      <w:r>
        <w:t xml:space="preserve"> </w:t>
      </w:r>
      <w:r w:rsidR="0012445D">
        <w:t>2 and 4</w:t>
      </w:r>
      <w:r>
        <w:t xml:space="preserve"> for discussion of this sort of distinction.  </w:t>
      </w:r>
    </w:p>
  </w:footnote>
  <w:footnote w:id="3">
    <w:p w14:paraId="587AA5BD" w14:textId="1E99FDE7" w:rsidR="002A4269" w:rsidRPr="002A4269" w:rsidRDefault="002A4269">
      <w:pPr>
        <w:pStyle w:val="FootnoteText"/>
      </w:pPr>
      <w:r>
        <w:rPr>
          <w:rStyle w:val="FootnoteReference"/>
        </w:rPr>
        <w:footnoteRef/>
      </w:r>
      <w:r>
        <w:t xml:space="preserve"> Th</w:t>
      </w:r>
      <w:r w:rsidR="001D3F93">
        <w:t>e</w:t>
      </w:r>
      <w:r>
        <w:t xml:space="preserve"> distinction between sensorial and doxastic appearances</w:t>
      </w:r>
      <w:r w:rsidR="006C3387">
        <w:t>,</w:t>
      </w:r>
      <w:r>
        <w:t xml:space="preserve"> </w:t>
      </w:r>
      <w:r w:rsidR="00ED6E7D">
        <w:t>and the ensuing argument,</w:t>
      </w:r>
      <w:r>
        <w:t xml:space="preserve"> is inspired by Schwitzgebel’s </w:t>
      </w:r>
      <w:r>
        <w:fldChar w:fldCharType="begin"/>
      </w:r>
      <w:r>
        <w:instrText xml:space="preserve"> ADDIN EN.CITE &lt;EndNote&gt;&lt;Cite ExcludeAuth="1"&gt;&lt;Author&gt;Schwitzgebel&lt;/Author&gt;&lt;Year&gt;2008&lt;/Year&gt;&lt;RecNum&gt;531&lt;/RecNum&gt;&lt;Pages&gt;262-263&lt;/Pages&gt;&lt;DisplayText&gt;(2008, pp. 262-263)&lt;/DisplayText&gt;&lt;record&gt;&lt;rec-number&gt;531&lt;/rec-number&gt;&lt;foreign-keys&gt;&lt;key app="EN" db-id="v0vwpaxsertptmes2t5p2228rf5f520wfd5p"&gt;531&lt;/key&gt;&lt;/foreign-keys&gt;&lt;ref-type name="Journal Article"&gt;17&lt;/ref-type&gt;&lt;contributors&gt;&lt;authors&gt;&lt;author&gt;Schwitzgebel, E.&lt;/author&gt;&lt;/authors&gt;&lt;/contributors&gt;&lt;titles&gt;&lt;title&gt;The Unreliability of Naive Introspection&lt;/title&gt;&lt;secondary-title&gt;The Philosophical Review&lt;/secondary-title&gt;&lt;/titles&gt;&lt;periodical&gt;&lt;full-title&gt;The Philosophical Review&lt;/full-title&gt;&lt;/periodical&gt;&lt;pages&gt;245-273&lt;/pages&gt;&lt;volume&gt;117&lt;/volume&gt;&lt;number&gt;2&lt;/number&gt;&lt;dates&gt;&lt;year&gt;2008&lt;/year&gt;&lt;/dates&gt;&lt;urls&gt;&lt;/urls&gt;&lt;/record&gt;&lt;/Cite&gt;&lt;/EndNote&gt;</w:instrText>
      </w:r>
      <w:r>
        <w:fldChar w:fldCharType="separate"/>
      </w:r>
      <w:r>
        <w:rPr>
          <w:noProof/>
        </w:rPr>
        <w:t>(2008, pp. 262-263)</w:t>
      </w:r>
      <w:r>
        <w:fldChar w:fldCharType="end"/>
      </w:r>
      <w:r>
        <w:t xml:space="preserve"> distinction between phenomenal and epistemic senses of ‘</w:t>
      </w:r>
      <w:r w:rsidRPr="002A4269">
        <w:t>appears</w:t>
      </w:r>
      <w:r>
        <w:t xml:space="preserve">’, which he puts to </w:t>
      </w:r>
      <w:r w:rsidR="00ED6E7D">
        <w:t>much</w:t>
      </w:r>
      <w:r>
        <w:t xml:space="preserve"> the same ends.</w:t>
      </w:r>
    </w:p>
  </w:footnote>
  <w:footnote w:id="4">
    <w:p w14:paraId="1DCAA521" w14:textId="0B0BB2B4" w:rsidR="00357431" w:rsidRDefault="00357431">
      <w:pPr>
        <w:pStyle w:val="FootnoteText"/>
      </w:pPr>
      <w:r>
        <w:rPr>
          <w:rStyle w:val="FootnoteReference"/>
        </w:rPr>
        <w:footnoteRef/>
      </w:r>
      <w:r>
        <w:t xml:space="preserve"> For skepticism about the ability of phenomenal concepts to play this kind of role, see Tye </w:t>
      </w:r>
      <w:r w:rsidR="00263766">
        <w:fldChar w:fldCharType="begin"/>
      </w:r>
      <w:r w:rsidR="00263766">
        <w:instrText xml:space="preserve"> ADDIN EN.CITE &lt;EndNote&gt;&lt;Cite ExcludeAuth="1"&gt;&lt;Author&gt;Tye&lt;/Author&gt;&lt;Year&gt;2009&lt;/Year&gt;&lt;RecNum&gt;751&lt;/RecNum&gt;&lt;DisplayText&gt;(2009)&lt;/DisplayText&gt;&lt;record&gt;&lt;rec-number&gt;751&lt;/rec-number&gt;&lt;foreign-keys&gt;&lt;key app="EN" db-id="v0vwpaxsertptmes2t5p2228rf5f520wfd5p"&gt;751&lt;/key&gt;&lt;/foreign-keys&gt;&lt;ref-type name="Book"&gt;6&lt;/ref-type&gt;&lt;contributors&gt;&lt;authors&gt;&lt;author&gt;Tye, Michael&lt;/author&gt;&lt;/authors&gt;&lt;/contributors&gt;&lt;titles&gt;&lt;title&gt;Consciousness Revisited: Materialism Without Phenomenal Concepts&lt;/title&gt;&lt;/titles&gt;&lt;dates&gt;&lt;year&gt;2009&lt;/year&gt;&lt;/dates&gt;&lt;publisher&gt;Mit Press&lt;/publisher&gt;&lt;urls&gt;&lt;/urls&gt;&lt;/record&gt;&lt;/Cite&gt;&lt;/EndNote&gt;</w:instrText>
      </w:r>
      <w:r w:rsidR="00263766">
        <w:fldChar w:fldCharType="separate"/>
      </w:r>
      <w:r w:rsidR="00263766">
        <w:rPr>
          <w:noProof/>
        </w:rPr>
        <w:t>(2009)</w:t>
      </w:r>
      <w:r w:rsidR="00263766">
        <w:fldChar w:fldCharType="end"/>
      </w:r>
      <w:r>
        <w:t>.</w:t>
      </w:r>
    </w:p>
  </w:footnote>
  <w:footnote w:id="5">
    <w:p w14:paraId="61ECDC0C" w14:textId="06B64D54" w:rsidR="00465BEE" w:rsidRPr="00465BEE" w:rsidRDefault="00465BEE">
      <w:pPr>
        <w:pStyle w:val="FootnoteText"/>
      </w:pPr>
      <w:r>
        <w:rPr>
          <w:rStyle w:val="FootnoteReference"/>
        </w:rPr>
        <w:footnoteRef/>
      </w:r>
      <w:r>
        <w:t xml:space="preserve"> </w:t>
      </w:r>
      <w:r w:rsidR="001E6CCA">
        <w:t>One might wonder whether animals c</w:t>
      </w:r>
      <w:r w:rsidR="00FB6795">
        <w:t xml:space="preserve">ould have pains on this </w:t>
      </w:r>
      <w:r w:rsidR="001E6CCA">
        <w:t>view, if they lack the concepts need</w:t>
      </w:r>
      <w:r w:rsidR="00AA1778">
        <w:t>ed</w:t>
      </w:r>
      <w:r w:rsidR="001E6CCA">
        <w:t xml:space="preserve"> to judge their states to </w:t>
      </w:r>
      <w:r w:rsidR="00AA1778">
        <w:t>be</w:t>
      </w:r>
      <w:r w:rsidR="001E6CCA">
        <w:t xml:space="preserve"> unpleasant.  </w:t>
      </w:r>
      <w:r w:rsidR="00C30CB5">
        <w:t>S</w:t>
      </w:r>
      <w:r w:rsidR="00F930D3">
        <w:t xml:space="preserve">o long as animals have a means for negatively assessing their own states—be it through the use of concepts or some other mode of thought—the spirit of </w:t>
      </w:r>
      <w:r w:rsidR="002E1D1D">
        <w:t>the</w:t>
      </w:r>
      <w:r w:rsidR="00F930D3">
        <w:t xml:space="preserve"> view can be extended to allow animals pains</w:t>
      </w:r>
      <w:r w:rsidR="001E6CCA">
        <w:t>.</w:t>
      </w:r>
      <w:r w:rsidR="00F930D3">
        <w:t xml:space="preserve">  </w:t>
      </w:r>
      <w:r w:rsidR="001A6488">
        <w:t>At the same time</w:t>
      </w:r>
      <w:r w:rsidR="00F930D3">
        <w:t xml:space="preserve">, </w:t>
      </w:r>
      <w:r w:rsidR="001A6488">
        <w:t xml:space="preserve">it bears noting that </w:t>
      </w:r>
      <w:r w:rsidR="00F930D3">
        <w:t>to deny that animals have pain of the human sort is not to suggest that they cannot suffer</w:t>
      </w:r>
      <w:r w:rsidR="007D45F8">
        <w:t xml:space="preserve"> </w:t>
      </w:r>
      <w:r w:rsidR="00263766">
        <w:fldChar w:fldCharType="begin"/>
      </w:r>
      <w:r w:rsidR="00263766">
        <w:instrText xml:space="preserve"> ADDIN EN.CITE &lt;EndNote&gt;&lt;Cite&gt;&lt;Author&gt;Carruthers&lt;/Author&gt;&lt;RecNum&gt;759&lt;/RecNum&gt;&lt;DisplayText&gt;(Carruthers, 2004)&lt;/DisplayText&gt;&lt;record&gt;&lt;rec-number&gt;759&lt;/rec-number&gt;&lt;foreign-keys&gt;&lt;key app="EN" db-id="v0vwpaxsertptmes2t5p2228rf5f520wfd5p"&gt;759&lt;/key&gt;&lt;/foreign-keys&gt;&lt;ref-type name="Journal Article"&gt;17&lt;/ref-type&gt;&lt;contributors&gt;&lt;authors&gt;&lt;author&gt;Carruthers, Peter&lt;/author&gt;&lt;/authors&gt;&lt;/contributors&gt;&lt;titles&gt;&lt;title&gt;Suffering without subjectivity&lt;/title&gt;&lt;secondary-title&gt;Philosophical Studies&lt;/secondary-title&gt;&lt;/titles&gt;&lt;periodical&gt;&lt;full-title&gt;Philosophical Studies&lt;/full-title&gt;&lt;/periodical&gt;&lt;pages&gt;99-125&lt;/pages&gt;&lt;volume&gt;121&lt;/volume&gt;&lt;number&gt;2&lt;/number&gt;&lt;dates&gt;&lt;year&gt;2004&lt;/year&gt;&lt;/dates&gt;&lt;isbn&gt;1573-0883&lt;/isbn&gt;&lt;label&gt;ref1&lt;/label&gt;&lt;work-type&gt;journal article&lt;/work-type&gt;&lt;urls&gt;&lt;related-urls&gt;&lt;url&gt;http://dx.doi.org/10.1007/s11098-004-3635-5&lt;/url&gt;&lt;/related-urls&gt;&lt;/urls&gt;&lt;electronic-resource-num&gt;10.1007/s11098-004-3635-5&lt;/electronic-resource-num&gt;&lt;/record&gt;&lt;/Cite&gt;&lt;/EndNote&gt;</w:instrText>
      </w:r>
      <w:r w:rsidR="00263766">
        <w:fldChar w:fldCharType="separate"/>
      </w:r>
      <w:r w:rsidR="00263766">
        <w:rPr>
          <w:noProof/>
        </w:rPr>
        <w:t>(Carruthers, 2004)</w:t>
      </w:r>
      <w:r w:rsidR="00263766">
        <w:fldChar w:fldCharType="end"/>
      </w:r>
      <w:r w:rsidR="00F930D3">
        <w:t xml:space="preserve">.  </w:t>
      </w:r>
      <w:r w:rsidR="001E6CCA">
        <w:t xml:space="preserve"> </w:t>
      </w:r>
    </w:p>
  </w:footnote>
  <w:footnote w:id="6">
    <w:p w14:paraId="7CC3B786" w14:textId="67A566CF" w:rsidR="00357431" w:rsidRDefault="00357431">
      <w:pPr>
        <w:pStyle w:val="FootnoteText"/>
      </w:pPr>
      <w:r>
        <w:rPr>
          <w:rStyle w:val="FootnoteReference"/>
        </w:rPr>
        <w:footnoteRef/>
      </w:r>
      <w:r>
        <w:t xml:space="preserve"> </w:t>
      </w:r>
      <w:r w:rsidR="00D10851">
        <w:t xml:space="preserve">See also Rainville et al. </w:t>
      </w:r>
      <w:r w:rsidR="00D10851">
        <w:fldChar w:fldCharType="begin"/>
      </w:r>
      <w:r w:rsidR="0058186D">
        <w:instrText xml:space="preserve"> ADDIN EN.CITE &lt;EndNote&gt;&lt;Cite ExcludeAuth="1"&gt;&lt;Author&gt;Rainville&lt;/Author&gt;&lt;Year&gt;1999&lt;/Year&gt;&lt;RecNum&gt;12&lt;/RecNum&gt;&lt;DisplayText&gt;(1999)&lt;/DisplayText&gt;&lt;record&gt;&lt;rec-number&gt;12&lt;/rec-number&gt;&lt;foreign-keys&gt;&lt;key app="EN" db-id="2tx220waur0024e2a9tvwtxhxx5exp9fr52f" timestamp="1458059712"&gt;12&lt;/key&gt;&lt;/foreign-keys&gt;&lt;ref-type name="Journal Article"&gt;17&lt;/ref-type&gt;&lt;contributors&gt;&lt;authors&gt;&lt;author&gt;Rainville, P.&lt;/author&gt;&lt;author&gt;Carrier, B.&lt;/author&gt;&lt;author&gt;Hofbauer, R. K.&lt;/author&gt;&lt;author&gt;Bushnell, M. C.&lt;/author&gt;&lt;author&gt;Duncan, G. H.&lt;/author&gt;&lt;/authors&gt;&lt;/contributors&gt;&lt;auth-address&gt;Departement de Psychologie, Universite de Montreal, Quebec, Canada.&lt;/auth-address&gt;&lt;titles&gt;&lt;title&gt;Dissociation of sensory and affective dimensions of pain using hypnotic modulation&lt;/title&gt;&lt;secondary-title&gt;Pain&lt;/secondary-title&gt;&lt;alt-title&gt;Pain&lt;/alt-title&gt;&lt;/titles&gt;&lt;periodical&gt;&lt;full-title&gt;Pain&lt;/full-title&gt;&lt;abbr-1&gt;Pain&lt;/abbr-1&gt;&lt;/periodical&gt;&lt;alt-periodical&gt;&lt;full-title&gt;Pain&lt;/full-title&gt;&lt;abbr-1&gt;Pain&lt;/abbr-1&gt;&lt;/alt-periodical&gt;&lt;pages&gt;159-71&lt;/pages&gt;&lt;volume&gt;82&lt;/volume&gt;&lt;number&gt;2&lt;/number&gt;&lt;edition&gt;1999/09/01&lt;/edition&gt;&lt;keywords&gt;&lt;keyword&gt;Affective Symptoms/ therapy&lt;/keyword&gt;&lt;keyword&gt;Analysis of Variance&lt;/keyword&gt;&lt;keyword&gt;Dissociative Disorders&lt;/keyword&gt;&lt;keyword&gt;Female&lt;/keyword&gt;&lt;keyword&gt;Humans&lt;/keyword&gt;&lt;keyword&gt;Hypnosis&lt;/keyword&gt;&lt;keyword&gt;Male&lt;/keyword&gt;&lt;keyword&gt;Pain/psychology&lt;/keyword&gt;&lt;keyword&gt;Pain Management&lt;/keyword&gt;&lt;keyword&gt;Pain Measurement&lt;/keyword&gt;&lt;keyword&gt;Sensation/ physiology&lt;/keyword&gt;&lt;keyword&gt;Suggestion&lt;/keyword&gt;&lt;/keywords&gt;&lt;dates&gt;&lt;year&gt;1999&lt;/year&gt;&lt;pub-dates&gt;&lt;date&gt;Aug&lt;/date&gt;&lt;/pub-dates&gt;&lt;/dates&gt;&lt;isbn&gt;0304-3959 (Print)&amp;#xD;0304-3959 (Linking)&lt;/isbn&gt;&lt;accession-num&gt;10467921&lt;/accession-num&gt;&lt;urls&gt;&lt;/urls&gt;&lt;remote-database-provider&gt;NLM&lt;/remote-database-provider&gt;&lt;language&gt;eng&lt;/language&gt;&lt;/record&gt;&lt;/Cite&gt;&lt;/EndNote&gt;</w:instrText>
      </w:r>
      <w:r w:rsidR="00D10851">
        <w:fldChar w:fldCharType="separate"/>
      </w:r>
      <w:r w:rsidR="00D10851">
        <w:rPr>
          <w:noProof/>
        </w:rPr>
        <w:t>(1999)</w:t>
      </w:r>
      <w:r w:rsidR="00D10851">
        <w:fldChar w:fldCharType="end"/>
      </w:r>
      <w:r w:rsidR="00D10851">
        <w:t xml:space="preserve"> for evidence of the dissociation in neurotypical individuals</w:t>
      </w:r>
      <w:r w:rsidR="00AE4346">
        <w:t xml:space="preserve"> under hypnosis</w:t>
      </w:r>
      <w:r w:rsidR="00D10851">
        <w:t>.</w:t>
      </w:r>
    </w:p>
  </w:footnote>
  <w:footnote w:id="7">
    <w:p w14:paraId="641B9340" w14:textId="2B15501F" w:rsidR="00B2395B" w:rsidRDefault="00B2395B">
      <w:pPr>
        <w:pStyle w:val="FootnoteText"/>
      </w:pPr>
      <w:r>
        <w:rPr>
          <w:rStyle w:val="FootnoteReference"/>
        </w:rPr>
        <w:footnoteRef/>
      </w:r>
      <w:r>
        <w:t xml:space="preserve"> Special thanks to Jennifer Corns for valuable feedback on</w:t>
      </w:r>
      <w:r w:rsidR="008C2DA2">
        <w:t xml:space="preserve"> several</w:t>
      </w:r>
      <w:r>
        <w:t xml:space="preserve"> </w:t>
      </w:r>
      <w:r w:rsidR="009110EE">
        <w:t>drafts</w:t>
      </w:r>
      <w:r>
        <w:t xml:space="preserve"> of this chapter.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C157B"/>
    <w:multiLevelType w:val="hybridMultilevel"/>
    <w:tmpl w:val="A2A87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x220waur0024e2a9tvwtxhxx5exp9fr52f&quot;&gt;NewLibrary&lt;record-ids&gt;&lt;item&gt;10&lt;/item&gt;&lt;item&gt;11&lt;/item&gt;&lt;item&gt;12&lt;/item&gt;&lt;/record-ids&gt;&lt;/item&gt;&lt;/Libraries&gt;"/>
  </w:docVars>
  <w:rsids>
    <w:rsidRoot w:val="00FF4D92"/>
    <w:rsid w:val="000101C9"/>
    <w:rsid w:val="00013DDB"/>
    <w:rsid w:val="00015219"/>
    <w:rsid w:val="00017BE6"/>
    <w:rsid w:val="00021150"/>
    <w:rsid w:val="00022EB0"/>
    <w:rsid w:val="00034CA2"/>
    <w:rsid w:val="00040473"/>
    <w:rsid w:val="00044F4F"/>
    <w:rsid w:val="00047D41"/>
    <w:rsid w:val="000538C0"/>
    <w:rsid w:val="00061469"/>
    <w:rsid w:val="000616D2"/>
    <w:rsid w:val="00063698"/>
    <w:rsid w:val="00072A31"/>
    <w:rsid w:val="000741F0"/>
    <w:rsid w:val="00084A5D"/>
    <w:rsid w:val="00086FCC"/>
    <w:rsid w:val="000909F5"/>
    <w:rsid w:val="00092C0E"/>
    <w:rsid w:val="000930E0"/>
    <w:rsid w:val="000A5769"/>
    <w:rsid w:val="000B6A7E"/>
    <w:rsid w:val="000C532F"/>
    <w:rsid w:val="000C60EB"/>
    <w:rsid w:val="000C6318"/>
    <w:rsid w:val="000D0AB6"/>
    <w:rsid w:val="000D3F40"/>
    <w:rsid w:val="000E5998"/>
    <w:rsid w:val="000E6147"/>
    <w:rsid w:val="000E71C8"/>
    <w:rsid w:val="000F03A2"/>
    <w:rsid w:val="000F056D"/>
    <w:rsid w:val="000F1464"/>
    <w:rsid w:val="000F5DCD"/>
    <w:rsid w:val="000F7402"/>
    <w:rsid w:val="00105E1D"/>
    <w:rsid w:val="00107F96"/>
    <w:rsid w:val="00110482"/>
    <w:rsid w:val="00111B8E"/>
    <w:rsid w:val="001150AC"/>
    <w:rsid w:val="001206C5"/>
    <w:rsid w:val="0012445D"/>
    <w:rsid w:val="00124DC7"/>
    <w:rsid w:val="00132328"/>
    <w:rsid w:val="00132836"/>
    <w:rsid w:val="001379D9"/>
    <w:rsid w:val="001406EF"/>
    <w:rsid w:val="00143A2D"/>
    <w:rsid w:val="001501BF"/>
    <w:rsid w:val="00162D09"/>
    <w:rsid w:val="00164FCD"/>
    <w:rsid w:val="00165466"/>
    <w:rsid w:val="001660BD"/>
    <w:rsid w:val="0017005C"/>
    <w:rsid w:val="00171DA3"/>
    <w:rsid w:val="00172397"/>
    <w:rsid w:val="001725A0"/>
    <w:rsid w:val="001752C4"/>
    <w:rsid w:val="00184CCD"/>
    <w:rsid w:val="0018541B"/>
    <w:rsid w:val="0019169F"/>
    <w:rsid w:val="00191E03"/>
    <w:rsid w:val="001952C7"/>
    <w:rsid w:val="001A5E87"/>
    <w:rsid w:val="001A6488"/>
    <w:rsid w:val="001B0706"/>
    <w:rsid w:val="001B0E99"/>
    <w:rsid w:val="001B701A"/>
    <w:rsid w:val="001B7342"/>
    <w:rsid w:val="001C16EA"/>
    <w:rsid w:val="001C17D8"/>
    <w:rsid w:val="001C6A0D"/>
    <w:rsid w:val="001D3F93"/>
    <w:rsid w:val="001E4077"/>
    <w:rsid w:val="001E6CCA"/>
    <w:rsid w:val="001F2172"/>
    <w:rsid w:val="001F28AB"/>
    <w:rsid w:val="001F5B02"/>
    <w:rsid w:val="001F764E"/>
    <w:rsid w:val="001F765A"/>
    <w:rsid w:val="0020243D"/>
    <w:rsid w:val="002056AA"/>
    <w:rsid w:val="00212C3C"/>
    <w:rsid w:val="00213AF3"/>
    <w:rsid w:val="002228F3"/>
    <w:rsid w:val="0022457D"/>
    <w:rsid w:val="00240ED6"/>
    <w:rsid w:val="0024284B"/>
    <w:rsid w:val="002450C1"/>
    <w:rsid w:val="00246A33"/>
    <w:rsid w:val="00247C13"/>
    <w:rsid w:val="00261829"/>
    <w:rsid w:val="0026199B"/>
    <w:rsid w:val="00262E93"/>
    <w:rsid w:val="00263766"/>
    <w:rsid w:val="002665A8"/>
    <w:rsid w:val="00266E25"/>
    <w:rsid w:val="002702BD"/>
    <w:rsid w:val="0027395D"/>
    <w:rsid w:val="00275BE5"/>
    <w:rsid w:val="00282945"/>
    <w:rsid w:val="002868F6"/>
    <w:rsid w:val="00295439"/>
    <w:rsid w:val="002A3BFA"/>
    <w:rsid w:val="002A4269"/>
    <w:rsid w:val="002A6C03"/>
    <w:rsid w:val="002A7591"/>
    <w:rsid w:val="002B1637"/>
    <w:rsid w:val="002B34A2"/>
    <w:rsid w:val="002B5923"/>
    <w:rsid w:val="002B596B"/>
    <w:rsid w:val="002B6249"/>
    <w:rsid w:val="002C3DAE"/>
    <w:rsid w:val="002C5E00"/>
    <w:rsid w:val="002D18A1"/>
    <w:rsid w:val="002D519E"/>
    <w:rsid w:val="002D5DEC"/>
    <w:rsid w:val="002E0E74"/>
    <w:rsid w:val="002E1D1D"/>
    <w:rsid w:val="002E4123"/>
    <w:rsid w:val="002E5087"/>
    <w:rsid w:val="002F2259"/>
    <w:rsid w:val="002F30B9"/>
    <w:rsid w:val="002F420B"/>
    <w:rsid w:val="00310761"/>
    <w:rsid w:val="0032198E"/>
    <w:rsid w:val="00323D69"/>
    <w:rsid w:val="00324B82"/>
    <w:rsid w:val="0032678D"/>
    <w:rsid w:val="00327BC3"/>
    <w:rsid w:val="00327D0B"/>
    <w:rsid w:val="0033486C"/>
    <w:rsid w:val="00344E6D"/>
    <w:rsid w:val="00345526"/>
    <w:rsid w:val="0035201E"/>
    <w:rsid w:val="00355E48"/>
    <w:rsid w:val="0035701F"/>
    <w:rsid w:val="00357431"/>
    <w:rsid w:val="00372960"/>
    <w:rsid w:val="00373272"/>
    <w:rsid w:val="003733E9"/>
    <w:rsid w:val="0038056A"/>
    <w:rsid w:val="003811BC"/>
    <w:rsid w:val="00381BED"/>
    <w:rsid w:val="00385E6D"/>
    <w:rsid w:val="003930BB"/>
    <w:rsid w:val="00395D1B"/>
    <w:rsid w:val="003A3BE0"/>
    <w:rsid w:val="003A5B00"/>
    <w:rsid w:val="003B1B1C"/>
    <w:rsid w:val="003C428D"/>
    <w:rsid w:val="003D2989"/>
    <w:rsid w:val="003D4BA8"/>
    <w:rsid w:val="003E786A"/>
    <w:rsid w:val="003F490A"/>
    <w:rsid w:val="00405848"/>
    <w:rsid w:val="00411ED2"/>
    <w:rsid w:val="0041308A"/>
    <w:rsid w:val="00414129"/>
    <w:rsid w:val="004147C1"/>
    <w:rsid w:val="00421F19"/>
    <w:rsid w:val="00421F6F"/>
    <w:rsid w:val="004273B7"/>
    <w:rsid w:val="00430A52"/>
    <w:rsid w:val="00432139"/>
    <w:rsid w:val="004448B3"/>
    <w:rsid w:val="004545BB"/>
    <w:rsid w:val="004553D1"/>
    <w:rsid w:val="004606DE"/>
    <w:rsid w:val="004633F4"/>
    <w:rsid w:val="004636ED"/>
    <w:rsid w:val="00465BEE"/>
    <w:rsid w:val="004706AC"/>
    <w:rsid w:val="00476879"/>
    <w:rsid w:val="0048521F"/>
    <w:rsid w:val="004901D1"/>
    <w:rsid w:val="004937EA"/>
    <w:rsid w:val="00494277"/>
    <w:rsid w:val="004961D5"/>
    <w:rsid w:val="00496BCC"/>
    <w:rsid w:val="004D2A3C"/>
    <w:rsid w:val="004D62FC"/>
    <w:rsid w:val="004D7D6F"/>
    <w:rsid w:val="004E0710"/>
    <w:rsid w:val="004E76EE"/>
    <w:rsid w:val="004E7ED1"/>
    <w:rsid w:val="004F0ACC"/>
    <w:rsid w:val="004F3E4F"/>
    <w:rsid w:val="004F6446"/>
    <w:rsid w:val="004F72D9"/>
    <w:rsid w:val="00505753"/>
    <w:rsid w:val="00507D3B"/>
    <w:rsid w:val="005124CF"/>
    <w:rsid w:val="0051403B"/>
    <w:rsid w:val="005166DB"/>
    <w:rsid w:val="0053356A"/>
    <w:rsid w:val="00533D08"/>
    <w:rsid w:val="00541BEC"/>
    <w:rsid w:val="005432BF"/>
    <w:rsid w:val="00545B91"/>
    <w:rsid w:val="005500F8"/>
    <w:rsid w:val="005509F0"/>
    <w:rsid w:val="0055256B"/>
    <w:rsid w:val="00557EF6"/>
    <w:rsid w:val="005621DF"/>
    <w:rsid w:val="00562C7F"/>
    <w:rsid w:val="005716AE"/>
    <w:rsid w:val="00571E6F"/>
    <w:rsid w:val="00573E07"/>
    <w:rsid w:val="00576786"/>
    <w:rsid w:val="0058186D"/>
    <w:rsid w:val="00584717"/>
    <w:rsid w:val="0058616D"/>
    <w:rsid w:val="00597F89"/>
    <w:rsid w:val="005A54CE"/>
    <w:rsid w:val="005A7766"/>
    <w:rsid w:val="005B3A7B"/>
    <w:rsid w:val="005C446A"/>
    <w:rsid w:val="005C7764"/>
    <w:rsid w:val="005D1CD1"/>
    <w:rsid w:val="005D2526"/>
    <w:rsid w:val="005D6C1C"/>
    <w:rsid w:val="005E3E09"/>
    <w:rsid w:val="005E4762"/>
    <w:rsid w:val="005F1F83"/>
    <w:rsid w:val="00600B1B"/>
    <w:rsid w:val="00601373"/>
    <w:rsid w:val="0061046D"/>
    <w:rsid w:val="00610B4A"/>
    <w:rsid w:val="00613367"/>
    <w:rsid w:val="0061379D"/>
    <w:rsid w:val="00616A2A"/>
    <w:rsid w:val="006226BB"/>
    <w:rsid w:val="00624FA3"/>
    <w:rsid w:val="006337DC"/>
    <w:rsid w:val="00642B2A"/>
    <w:rsid w:val="0064708F"/>
    <w:rsid w:val="006610A3"/>
    <w:rsid w:val="00663AA4"/>
    <w:rsid w:val="00666E87"/>
    <w:rsid w:val="0067721C"/>
    <w:rsid w:val="00681EC9"/>
    <w:rsid w:val="00686AEF"/>
    <w:rsid w:val="006A1D49"/>
    <w:rsid w:val="006A1E84"/>
    <w:rsid w:val="006A2ED8"/>
    <w:rsid w:val="006A4333"/>
    <w:rsid w:val="006A44EC"/>
    <w:rsid w:val="006B54CA"/>
    <w:rsid w:val="006C2296"/>
    <w:rsid w:val="006C3387"/>
    <w:rsid w:val="006C380D"/>
    <w:rsid w:val="006C42B1"/>
    <w:rsid w:val="006C5A37"/>
    <w:rsid w:val="006D29CE"/>
    <w:rsid w:val="006D4DD3"/>
    <w:rsid w:val="006D6736"/>
    <w:rsid w:val="006E4686"/>
    <w:rsid w:val="006E7B4F"/>
    <w:rsid w:val="006F0BAB"/>
    <w:rsid w:val="006F12FD"/>
    <w:rsid w:val="006F7D8D"/>
    <w:rsid w:val="00712B4B"/>
    <w:rsid w:val="007148FA"/>
    <w:rsid w:val="007243D3"/>
    <w:rsid w:val="00730B47"/>
    <w:rsid w:val="00731F79"/>
    <w:rsid w:val="00733A4B"/>
    <w:rsid w:val="00735ECA"/>
    <w:rsid w:val="00737C18"/>
    <w:rsid w:val="00744CFE"/>
    <w:rsid w:val="00752A37"/>
    <w:rsid w:val="00752D42"/>
    <w:rsid w:val="00760559"/>
    <w:rsid w:val="00763428"/>
    <w:rsid w:val="00770B28"/>
    <w:rsid w:val="00776BD9"/>
    <w:rsid w:val="00787DBA"/>
    <w:rsid w:val="007A321F"/>
    <w:rsid w:val="007A7208"/>
    <w:rsid w:val="007A776B"/>
    <w:rsid w:val="007B0A05"/>
    <w:rsid w:val="007C2BEA"/>
    <w:rsid w:val="007D1DD6"/>
    <w:rsid w:val="007D45F8"/>
    <w:rsid w:val="007D68D0"/>
    <w:rsid w:val="007D7E7D"/>
    <w:rsid w:val="007E1431"/>
    <w:rsid w:val="007F2154"/>
    <w:rsid w:val="00801425"/>
    <w:rsid w:val="008101A5"/>
    <w:rsid w:val="00820476"/>
    <w:rsid w:val="00821D01"/>
    <w:rsid w:val="00831061"/>
    <w:rsid w:val="008313E5"/>
    <w:rsid w:val="008357CD"/>
    <w:rsid w:val="008458FE"/>
    <w:rsid w:val="00853765"/>
    <w:rsid w:val="00857183"/>
    <w:rsid w:val="00863C86"/>
    <w:rsid w:val="00870C74"/>
    <w:rsid w:val="008723D1"/>
    <w:rsid w:val="008811D0"/>
    <w:rsid w:val="008827EB"/>
    <w:rsid w:val="0088496C"/>
    <w:rsid w:val="00884BBF"/>
    <w:rsid w:val="0088729C"/>
    <w:rsid w:val="008941D9"/>
    <w:rsid w:val="008B0A92"/>
    <w:rsid w:val="008C165B"/>
    <w:rsid w:val="008C2DA2"/>
    <w:rsid w:val="008C3B33"/>
    <w:rsid w:val="008E04AF"/>
    <w:rsid w:val="008E0A3C"/>
    <w:rsid w:val="008E15E8"/>
    <w:rsid w:val="008E4F1E"/>
    <w:rsid w:val="008E58C2"/>
    <w:rsid w:val="008F30AC"/>
    <w:rsid w:val="008F7B9C"/>
    <w:rsid w:val="009008AA"/>
    <w:rsid w:val="00901B9D"/>
    <w:rsid w:val="009110EE"/>
    <w:rsid w:val="009142C2"/>
    <w:rsid w:val="00926DE1"/>
    <w:rsid w:val="00947D30"/>
    <w:rsid w:val="00950D87"/>
    <w:rsid w:val="00966B67"/>
    <w:rsid w:val="00973855"/>
    <w:rsid w:val="00984FCA"/>
    <w:rsid w:val="009961BF"/>
    <w:rsid w:val="009977A0"/>
    <w:rsid w:val="009A0299"/>
    <w:rsid w:val="009A08D5"/>
    <w:rsid w:val="009B574D"/>
    <w:rsid w:val="009C0DD4"/>
    <w:rsid w:val="009D0E63"/>
    <w:rsid w:val="009D4361"/>
    <w:rsid w:val="009D4D3A"/>
    <w:rsid w:val="009D6357"/>
    <w:rsid w:val="009D7A2B"/>
    <w:rsid w:val="009E4576"/>
    <w:rsid w:val="009E50F6"/>
    <w:rsid w:val="009E5CEC"/>
    <w:rsid w:val="009E6769"/>
    <w:rsid w:val="009F4F61"/>
    <w:rsid w:val="009F78A6"/>
    <w:rsid w:val="00A036B4"/>
    <w:rsid w:val="00A07457"/>
    <w:rsid w:val="00A13BAB"/>
    <w:rsid w:val="00A26528"/>
    <w:rsid w:val="00A41E9B"/>
    <w:rsid w:val="00A42171"/>
    <w:rsid w:val="00A4397D"/>
    <w:rsid w:val="00A53469"/>
    <w:rsid w:val="00A576FB"/>
    <w:rsid w:val="00A6226D"/>
    <w:rsid w:val="00A80075"/>
    <w:rsid w:val="00A80DC4"/>
    <w:rsid w:val="00A90AD8"/>
    <w:rsid w:val="00A948C7"/>
    <w:rsid w:val="00AA1778"/>
    <w:rsid w:val="00AB7FE1"/>
    <w:rsid w:val="00AC3AE9"/>
    <w:rsid w:val="00AC49B1"/>
    <w:rsid w:val="00AC55A2"/>
    <w:rsid w:val="00AD4CF3"/>
    <w:rsid w:val="00AD4EF4"/>
    <w:rsid w:val="00AD63D9"/>
    <w:rsid w:val="00AE4346"/>
    <w:rsid w:val="00AF280D"/>
    <w:rsid w:val="00AF4DC4"/>
    <w:rsid w:val="00AF5DF4"/>
    <w:rsid w:val="00AF65A4"/>
    <w:rsid w:val="00AF7F54"/>
    <w:rsid w:val="00B05288"/>
    <w:rsid w:val="00B10071"/>
    <w:rsid w:val="00B14714"/>
    <w:rsid w:val="00B1723B"/>
    <w:rsid w:val="00B1759A"/>
    <w:rsid w:val="00B20854"/>
    <w:rsid w:val="00B2116C"/>
    <w:rsid w:val="00B22B8A"/>
    <w:rsid w:val="00B2395B"/>
    <w:rsid w:val="00B425B6"/>
    <w:rsid w:val="00B46531"/>
    <w:rsid w:val="00B467C0"/>
    <w:rsid w:val="00B53DD5"/>
    <w:rsid w:val="00B5648F"/>
    <w:rsid w:val="00B66594"/>
    <w:rsid w:val="00B72E50"/>
    <w:rsid w:val="00B8034B"/>
    <w:rsid w:val="00B80E96"/>
    <w:rsid w:val="00B86008"/>
    <w:rsid w:val="00B932D6"/>
    <w:rsid w:val="00B93A07"/>
    <w:rsid w:val="00B9471A"/>
    <w:rsid w:val="00BA6A15"/>
    <w:rsid w:val="00BB6635"/>
    <w:rsid w:val="00BC0B58"/>
    <w:rsid w:val="00BC2A44"/>
    <w:rsid w:val="00BD0B35"/>
    <w:rsid w:val="00BD1500"/>
    <w:rsid w:val="00BE59F5"/>
    <w:rsid w:val="00BF4688"/>
    <w:rsid w:val="00BF57BE"/>
    <w:rsid w:val="00C00894"/>
    <w:rsid w:val="00C03338"/>
    <w:rsid w:val="00C06241"/>
    <w:rsid w:val="00C1558A"/>
    <w:rsid w:val="00C266CC"/>
    <w:rsid w:val="00C27D07"/>
    <w:rsid w:val="00C27FBA"/>
    <w:rsid w:val="00C30CB5"/>
    <w:rsid w:val="00C40D40"/>
    <w:rsid w:val="00C4371B"/>
    <w:rsid w:val="00C6054B"/>
    <w:rsid w:val="00C608C1"/>
    <w:rsid w:val="00C737EB"/>
    <w:rsid w:val="00C7727B"/>
    <w:rsid w:val="00C77BE6"/>
    <w:rsid w:val="00C84916"/>
    <w:rsid w:val="00C91C9E"/>
    <w:rsid w:val="00C95324"/>
    <w:rsid w:val="00C95C3D"/>
    <w:rsid w:val="00C96390"/>
    <w:rsid w:val="00CA0D53"/>
    <w:rsid w:val="00CA2312"/>
    <w:rsid w:val="00CA7EBF"/>
    <w:rsid w:val="00CB12F2"/>
    <w:rsid w:val="00CB6381"/>
    <w:rsid w:val="00CB6B70"/>
    <w:rsid w:val="00CC312D"/>
    <w:rsid w:val="00CC66AC"/>
    <w:rsid w:val="00CD1AFA"/>
    <w:rsid w:val="00CD2776"/>
    <w:rsid w:val="00CD399D"/>
    <w:rsid w:val="00CD7310"/>
    <w:rsid w:val="00CE043F"/>
    <w:rsid w:val="00CF41ED"/>
    <w:rsid w:val="00D0162D"/>
    <w:rsid w:val="00D10851"/>
    <w:rsid w:val="00D1101E"/>
    <w:rsid w:val="00D22839"/>
    <w:rsid w:val="00D31B99"/>
    <w:rsid w:val="00D3537A"/>
    <w:rsid w:val="00D355DD"/>
    <w:rsid w:val="00D35898"/>
    <w:rsid w:val="00D364CB"/>
    <w:rsid w:val="00D37042"/>
    <w:rsid w:val="00D42045"/>
    <w:rsid w:val="00D50A85"/>
    <w:rsid w:val="00D6051C"/>
    <w:rsid w:val="00D72A20"/>
    <w:rsid w:val="00D75120"/>
    <w:rsid w:val="00D761D7"/>
    <w:rsid w:val="00D807D7"/>
    <w:rsid w:val="00D815A4"/>
    <w:rsid w:val="00D83C43"/>
    <w:rsid w:val="00D84307"/>
    <w:rsid w:val="00D866BD"/>
    <w:rsid w:val="00D91969"/>
    <w:rsid w:val="00D94310"/>
    <w:rsid w:val="00DA5CB0"/>
    <w:rsid w:val="00DA6F70"/>
    <w:rsid w:val="00DB2C11"/>
    <w:rsid w:val="00DC2574"/>
    <w:rsid w:val="00DC288A"/>
    <w:rsid w:val="00DD1429"/>
    <w:rsid w:val="00DD5AF6"/>
    <w:rsid w:val="00DD6130"/>
    <w:rsid w:val="00DD6CD0"/>
    <w:rsid w:val="00DE08C9"/>
    <w:rsid w:val="00DE23A8"/>
    <w:rsid w:val="00DE4590"/>
    <w:rsid w:val="00DE49B1"/>
    <w:rsid w:val="00DE619E"/>
    <w:rsid w:val="00DE6AED"/>
    <w:rsid w:val="00DE77B1"/>
    <w:rsid w:val="00DE7D41"/>
    <w:rsid w:val="00DF3B8E"/>
    <w:rsid w:val="00DF3EEA"/>
    <w:rsid w:val="00DF620D"/>
    <w:rsid w:val="00DF713D"/>
    <w:rsid w:val="00E03723"/>
    <w:rsid w:val="00E0599C"/>
    <w:rsid w:val="00E06FA6"/>
    <w:rsid w:val="00E10D4D"/>
    <w:rsid w:val="00E179A3"/>
    <w:rsid w:val="00E234BD"/>
    <w:rsid w:val="00E26668"/>
    <w:rsid w:val="00E34615"/>
    <w:rsid w:val="00E56E7A"/>
    <w:rsid w:val="00E60FD2"/>
    <w:rsid w:val="00E74AF1"/>
    <w:rsid w:val="00E834A8"/>
    <w:rsid w:val="00E83835"/>
    <w:rsid w:val="00E933A7"/>
    <w:rsid w:val="00EB1517"/>
    <w:rsid w:val="00EB461B"/>
    <w:rsid w:val="00EB5F7D"/>
    <w:rsid w:val="00EB6A6F"/>
    <w:rsid w:val="00EC7796"/>
    <w:rsid w:val="00ED17C5"/>
    <w:rsid w:val="00ED54DB"/>
    <w:rsid w:val="00ED6E7D"/>
    <w:rsid w:val="00EE27E3"/>
    <w:rsid w:val="00EF7C1A"/>
    <w:rsid w:val="00F079D4"/>
    <w:rsid w:val="00F211BC"/>
    <w:rsid w:val="00F21AEC"/>
    <w:rsid w:val="00F25F61"/>
    <w:rsid w:val="00F33236"/>
    <w:rsid w:val="00F3503C"/>
    <w:rsid w:val="00F37D13"/>
    <w:rsid w:val="00F40923"/>
    <w:rsid w:val="00F53E4E"/>
    <w:rsid w:val="00F56BF0"/>
    <w:rsid w:val="00F570C7"/>
    <w:rsid w:val="00F655BD"/>
    <w:rsid w:val="00F8167F"/>
    <w:rsid w:val="00F90DC6"/>
    <w:rsid w:val="00F930D3"/>
    <w:rsid w:val="00F957A4"/>
    <w:rsid w:val="00FA7A12"/>
    <w:rsid w:val="00FB6795"/>
    <w:rsid w:val="00FB70C4"/>
    <w:rsid w:val="00FC0953"/>
    <w:rsid w:val="00FC31B2"/>
    <w:rsid w:val="00FC52BF"/>
    <w:rsid w:val="00FC6675"/>
    <w:rsid w:val="00FD04BD"/>
    <w:rsid w:val="00FD1F31"/>
    <w:rsid w:val="00FD329F"/>
    <w:rsid w:val="00FD5A60"/>
    <w:rsid w:val="00FE00B5"/>
    <w:rsid w:val="00FF2E37"/>
    <w:rsid w:val="00FF4D92"/>
    <w:rsid w:val="00FF5230"/>
    <w:rsid w:val="00FF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AA981"/>
  <w15:docId w15:val="{4BDB3EFE-24D2-42D9-B124-AF00EB2A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6E2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4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4F"/>
    <w:rPr>
      <w:sz w:val="20"/>
      <w:szCs w:val="20"/>
    </w:rPr>
  </w:style>
  <w:style w:type="character" w:styleId="FootnoteReference">
    <w:name w:val="footnote reference"/>
    <w:basedOn w:val="DefaultParagraphFont"/>
    <w:uiPriority w:val="99"/>
    <w:semiHidden/>
    <w:unhideWhenUsed/>
    <w:rsid w:val="00044F4F"/>
    <w:rPr>
      <w:vertAlign w:val="superscript"/>
    </w:rPr>
  </w:style>
  <w:style w:type="paragraph" w:styleId="ListParagraph">
    <w:name w:val="List Paragraph"/>
    <w:basedOn w:val="Normal"/>
    <w:uiPriority w:val="34"/>
    <w:qFormat/>
    <w:rsid w:val="009A0299"/>
    <w:pPr>
      <w:ind w:left="720"/>
      <w:contextualSpacing/>
    </w:pPr>
  </w:style>
  <w:style w:type="paragraph" w:customStyle="1" w:styleId="EndNoteBibliographyTitle">
    <w:name w:val="EndNote Bibliography Title"/>
    <w:basedOn w:val="Normal"/>
    <w:link w:val="EndNoteBibliographyTitleChar"/>
    <w:rsid w:val="00DC288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C288A"/>
    <w:rPr>
      <w:rFonts w:ascii="Calibri" w:hAnsi="Calibri"/>
      <w:noProof/>
    </w:rPr>
  </w:style>
  <w:style w:type="paragraph" w:customStyle="1" w:styleId="EndNoteBibliography">
    <w:name w:val="EndNote Bibliography"/>
    <w:basedOn w:val="Normal"/>
    <w:link w:val="EndNoteBibliographyChar"/>
    <w:rsid w:val="00DC288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C288A"/>
    <w:rPr>
      <w:rFonts w:ascii="Calibri" w:hAnsi="Calibri"/>
      <w:noProof/>
    </w:rPr>
  </w:style>
  <w:style w:type="paragraph" w:styleId="Header">
    <w:name w:val="header"/>
    <w:basedOn w:val="Normal"/>
    <w:link w:val="HeaderChar"/>
    <w:uiPriority w:val="99"/>
    <w:unhideWhenUsed/>
    <w:rsid w:val="003F4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0A"/>
  </w:style>
  <w:style w:type="paragraph" w:styleId="Footer">
    <w:name w:val="footer"/>
    <w:basedOn w:val="Normal"/>
    <w:link w:val="FooterChar"/>
    <w:uiPriority w:val="99"/>
    <w:unhideWhenUsed/>
    <w:rsid w:val="003F4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0A"/>
  </w:style>
  <w:style w:type="character" w:styleId="CommentReference">
    <w:name w:val="annotation reference"/>
    <w:basedOn w:val="DefaultParagraphFont"/>
    <w:uiPriority w:val="99"/>
    <w:semiHidden/>
    <w:unhideWhenUsed/>
    <w:rsid w:val="002E4123"/>
    <w:rPr>
      <w:sz w:val="18"/>
      <w:szCs w:val="18"/>
    </w:rPr>
  </w:style>
  <w:style w:type="paragraph" w:styleId="CommentText">
    <w:name w:val="annotation text"/>
    <w:basedOn w:val="Normal"/>
    <w:link w:val="CommentTextChar"/>
    <w:uiPriority w:val="99"/>
    <w:semiHidden/>
    <w:unhideWhenUsed/>
    <w:rsid w:val="002E4123"/>
    <w:pPr>
      <w:spacing w:line="240" w:lineRule="auto"/>
    </w:pPr>
    <w:rPr>
      <w:sz w:val="24"/>
      <w:szCs w:val="24"/>
    </w:rPr>
  </w:style>
  <w:style w:type="character" w:customStyle="1" w:styleId="CommentTextChar">
    <w:name w:val="Comment Text Char"/>
    <w:basedOn w:val="DefaultParagraphFont"/>
    <w:link w:val="CommentText"/>
    <w:uiPriority w:val="99"/>
    <w:semiHidden/>
    <w:rsid w:val="002E4123"/>
    <w:rPr>
      <w:sz w:val="24"/>
      <w:szCs w:val="24"/>
    </w:rPr>
  </w:style>
  <w:style w:type="paragraph" w:styleId="CommentSubject">
    <w:name w:val="annotation subject"/>
    <w:basedOn w:val="CommentText"/>
    <w:next w:val="CommentText"/>
    <w:link w:val="CommentSubjectChar"/>
    <w:uiPriority w:val="99"/>
    <w:semiHidden/>
    <w:unhideWhenUsed/>
    <w:rsid w:val="002E4123"/>
    <w:rPr>
      <w:b/>
      <w:bCs/>
      <w:sz w:val="20"/>
      <w:szCs w:val="20"/>
    </w:rPr>
  </w:style>
  <w:style w:type="character" w:customStyle="1" w:styleId="CommentSubjectChar">
    <w:name w:val="Comment Subject Char"/>
    <w:basedOn w:val="CommentTextChar"/>
    <w:link w:val="CommentSubject"/>
    <w:uiPriority w:val="99"/>
    <w:semiHidden/>
    <w:rsid w:val="002E4123"/>
    <w:rPr>
      <w:b/>
      <w:bCs/>
      <w:sz w:val="20"/>
      <w:szCs w:val="20"/>
    </w:rPr>
  </w:style>
  <w:style w:type="paragraph" w:styleId="BalloonText">
    <w:name w:val="Balloon Text"/>
    <w:basedOn w:val="Normal"/>
    <w:link w:val="BalloonTextChar"/>
    <w:uiPriority w:val="99"/>
    <w:semiHidden/>
    <w:unhideWhenUsed/>
    <w:rsid w:val="002E41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123"/>
    <w:rPr>
      <w:rFonts w:ascii="Lucida Grande" w:hAnsi="Lucida Grande" w:cs="Lucida Grande"/>
      <w:sz w:val="18"/>
      <w:szCs w:val="18"/>
    </w:rPr>
  </w:style>
  <w:style w:type="character" w:styleId="Strong">
    <w:name w:val="Strong"/>
    <w:basedOn w:val="DefaultParagraphFont"/>
    <w:uiPriority w:val="22"/>
    <w:qFormat/>
    <w:rsid w:val="002B596B"/>
    <w:rPr>
      <w:b/>
      <w:bCs/>
    </w:rPr>
  </w:style>
  <w:style w:type="character" w:customStyle="1" w:styleId="Heading1Char">
    <w:name w:val="Heading 1 Char"/>
    <w:basedOn w:val="DefaultParagraphFont"/>
    <w:link w:val="Heading1"/>
    <w:uiPriority w:val="9"/>
    <w:rsid w:val="00266E25"/>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1D3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sum2014/entries/introspe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plato.stanford.edu/archives/sum2014/entries/introsp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E0E2-3CA1-4010-93A4-D62E51E9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7176</Words>
  <Characters>40906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PH</cp:lastModifiedBy>
  <cp:revision>2</cp:revision>
  <dcterms:created xsi:type="dcterms:W3CDTF">2016-04-21T15:51:00Z</dcterms:created>
  <dcterms:modified xsi:type="dcterms:W3CDTF">2016-04-21T15:51:00Z</dcterms:modified>
</cp:coreProperties>
</file>